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A73E4">
      <w:pPr>
        <w:pStyle w:val="23"/>
        <w:spacing w:line="360" w:lineRule="auto"/>
        <w:jc w:val="center"/>
        <w:rPr>
          <w:rFonts w:ascii="仿宋_GB2312" w:hAnsi="仿宋" w:eastAsia="仿宋_GB2312"/>
          <w:b/>
          <w:color w:val="auto"/>
          <w:sz w:val="32"/>
          <w:szCs w:val="32"/>
        </w:rPr>
      </w:pPr>
      <w:bookmarkStart w:id="5" w:name="_GoBack"/>
      <w:bookmarkEnd w:id="5"/>
      <w:r>
        <w:rPr>
          <w:rFonts w:hint="eastAsia" w:ascii="仿宋_GB2312" w:hAnsi="仿宋" w:eastAsia="仿宋_GB2312"/>
          <w:b/>
          <w:color w:val="auto"/>
          <w:sz w:val="32"/>
          <w:szCs w:val="32"/>
        </w:rPr>
        <w:t>应急管理部天津消防研究所全氟戊酮采购项目（项目编号：</w:t>
      </w:r>
      <w:r>
        <w:rPr>
          <w:rFonts w:ascii="仿宋_GB2312" w:hAnsi="仿宋" w:eastAsia="仿宋_GB2312"/>
          <w:b/>
          <w:color w:val="auto"/>
          <w:sz w:val="32"/>
          <w:szCs w:val="32"/>
        </w:rPr>
        <w:t>TGPC-2026-A-0019</w:t>
      </w:r>
      <w:r>
        <w:rPr>
          <w:rFonts w:hint="eastAsia" w:ascii="仿宋_GB2312" w:hAnsi="仿宋" w:eastAsia="仿宋_GB2312"/>
          <w:b/>
          <w:color w:val="auto"/>
          <w:sz w:val="32"/>
          <w:szCs w:val="32"/>
        </w:rPr>
        <w:t>）公开招标公告</w:t>
      </w:r>
    </w:p>
    <w:p w14:paraId="4F59F6B4">
      <w:pPr>
        <w:pStyle w:val="23"/>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cs="Times New Roman" w:eastAsiaTheme="minorEastAsia"/>
          <w:color w:val="auto"/>
          <w:szCs w:val="32"/>
        </w:rPr>
        <w:t>应急管理部天津消防研究所</w:t>
      </w:r>
      <w:r>
        <w:rPr>
          <w:rFonts w:ascii="Times New Roman" w:hAnsi="Times New Roman" w:cs="Times New Roman" w:eastAsiaTheme="minorEastAsia"/>
          <w:color w:val="auto"/>
          <w:szCs w:val="32"/>
        </w:rPr>
        <w:t>委托，天津市政府采购中心对</w:t>
      </w:r>
      <w:r>
        <w:rPr>
          <w:rFonts w:hint="eastAsia" w:ascii="Times New Roman" w:hAnsi="Times New Roman" w:cs="Times New Roman" w:eastAsiaTheme="minorEastAsia"/>
          <w:color w:val="auto"/>
          <w:szCs w:val="32"/>
        </w:rPr>
        <w:t>应急管理部天津消防研究所全氟戊酮采购</w:t>
      </w:r>
      <w:r>
        <w:rPr>
          <w:rFonts w:ascii="Times New Roman" w:hAnsi="Times New Roman" w:cs="Times New Roman" w:eastAsiaTheme="minorEastAsia"/>
          <w:color w:val="auto"/>
          <w:szCs w:val="32"/>
        </w:rPr>
        <w:t>项目实施采购。现欢迎合格的供应商参加投标。</w:t>
      </w:r>
    </w:p>
    <w:p w14:paraId="15039AA4">
      <w:pPr>
        <w:pStyle w:val="23"/>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15DECD3B">
      <w:pPr>
        <w:pStyle w:val="23"/>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一、基本概况</w:t>
      </w:r>
    </w:p>
    <w:p w14:paraId="1B4BF8AC">
      <w:pPr>
        <w:pStyle w:val="23"/>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（一）项目名称：</w:t>
      </w:r>
      <w:r>
        <w:rPr>
          <w:rFonts w:hint="eastAsia" w:ascii="Times New Roman" w:hAnsi="Times New Roman" w:cs="Times New Roman" w:eastAsiaTheme="minorEastAsia"/>
          <w:color w:val="auto"/>
          <w:szCs w:val="32"/>
        </w:rPr>
        <w:t>应急管理部天津消防研究所全氟戊酮采购</w:t>
      </w:r>
      <w:r>
        <w:rPr>
          <w:rFonts w:ascii="Times New Roman" w:hAnsi="Times New Roman" w:cs="Times New Roman" w:eastAsiaTheme="minorEastAsia"/>
          <w:color w:val="auto"/>
          <w:szCs w:val="32"/>
        </w:rPr>
        <w:t>项目</w:t>
      </w:r>
    </w:p>
    <w:p w14:paraId="239D65D4">
      <w:pPr>
        <w:pStyle w:val="23"/>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（二）项目编号：TGPC-202</w:t>
      </w:r>
      <w:r>
        <w:rPr>
          <w:rFonts w:hint="eastAsia" w:ascii="Times New Roman" w:hAnsi="Times New Roman" w:cs="Times New Roman" w:eastAsiaTheme="minorEastAsia"/>
          <w:color w:val="auto"/>
          <w:szCs w:val="32"/>
        </w:rPr>
        <w:t>6</w:t>
      </w:r>
      <w:r>
        <w:rPr>
          <w:rFonts w:ascii="Times New Roman" w:hAnsi="Times New Roman" w:cs="Times New Roman" w:eastAsiaTheme="minorEastAsia"/>
          <w:color w:val="auto"/>
          <w:szCs w:val="32"/>
        </w:rPr>
        <w:t>-</w:t>
      </w:r>
      <w:r>
        <w:rPr>
          <w:rFonts w:hint="eastAsia" w:ascii="Times New Roman" w:hAnsi="Times New Roman" w:cs="Times New Roman" w:eastAsiaTheme="minorEastAsia"/>
          <w:color w:val="auto"/>
          <w:szCs w:val="32"/>
        </w:rPr>
        <w:t>A</w:t>
      </w:r>
      <w:r>
        <w:rPr>
          <w:rFonts w:ascii="Times New Roman" w:hAnsi="Times New Roman" w:cs="Times New Roman" w:eastAsiaTheme="minorEastAsia"/>
          <w:color w:val="auto"/>
          <w:szCs w:val="32"/>
        </w:rPr>
        <w:t>-0</w:t>
      </w:r>
      <w:r>
        <w:rPr>
          <w:rFonts w:hint="eastAsia" w:ascii="Times New Roman" w:hAnsi="Times New Roman" w:cs="Times New Roman" w:eastAsiaTheme="minorEastAsia"/>
          <w:color w:val="auto"/>
          <w:szCs w:val="32"/>
        </w:rPr>
        <w:t>019</w:t>
      </w:r>
    </w:p>
    <w:p w14:paraId="43EFF3B4">
      <w:pPr>
        <w:pStyle w:val="23"/>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（三）采购方式：公开招标</w:t>
      </w:r>
    </w:p>
    <w:p w14:paraId="345818E9">
      <w:pPr>
        <w:pStyle w:val="23"/>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（四）项目属性：货物</w:t>
      </w:r>
    </w:p>
    <w:p w14:paraId="5D5FED5F">
      <w:pPr>
        <w:pStyle w:val="23"/>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（五）本项目不接受联合体参与。不接受联合体参与的，若有供应商组成联合体参与，视为无效投标。</w:t>
      </w:r>
    </w:p>
    <w:p w14:paraId="65216798">
      <w:pPr>
        <w:pStyle w:val="23"/>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（六）本文件售价：免费。</w:t>
      </w:r>
    </w:p>
    <w:p w14:paraId="1101B654">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w:t>
      </w:r>
      <w:r>
        <w:rPr>
          <w:rFonts w:ascii="Times New Roman" w:hAnsi="Times New Roman" w:cs="Times New Roman" w:eastAsiaTheme="minorEastAsia"/>
          <w:color w:val="auto"/>
          <w:szCs w:val="32"/>
        </w:rPr>
        <w:t>项目内容</w:t>
      </w:r>
    </w:p>
    <w:tbl>
      <w:tblPr>
        <w:tblStyle w:val="2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417"/>
        <w:gridCol w:w="1134"/>
        <w:gridCol w:w="1560"/>
        <w:gridCol w:w="2972"/>
        <w:gridCol w:w="1389"/>
      </w:tblGrid>
      <w:tr w14:paraId="6B32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vAlign w:val="center"/>
          </w:tcPr>
          <w:p w14:paraId="12371C48">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包号</w:t>
            </w:r>
          </w:p>
        </w:tc>
        <w:tc>
          <w:tcPr>
            <w:tcW w:w="1417" w:type="dxa"/>
            <w:vAlign w:val="center"/>
          </w:tcPr>
          <w:p w14:paraId="7E1945B7">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包名称</w:t>
            </w:r>
          </w:p>
        </w:tc>
        <w:tc>
          <w:tcPr>
            <w:tcW w:w="1134" w:type="dxa"/>
            <w:vAlign w:val="center"/>
          </w:tcPr>
          <w:p w14:paraId="779EA67D">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包预算</w:t>
            </w:r>
          </w:p>
        </w:tc>
        <w:tc>
          <w:tcPr>
            <w:tcW w:w="1560" w:type="dxa"/>
            <w:vAlign w:val="center"/>
          </w:tcPr>
          <w:p w14:paraId="7190CDCC">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包最高限价</w:t>
            </w:r>
          </w:p>
        </w:tc>
        <w:tc>
          <w:tcPr>
            <w:tcW w:w="2972" w:type="dxa"/>
            <w:vAlign w:val="center"/>
          </w:tcPr>
          <w:p w14:paraId="7B11BF27">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合同履行期限</w:t>
            </w:r>
          </w:p>
        </w:tc>
        <w:tc>
          <w:tcPr>
            <w:tcW w:w="1389" w:type="dxa"/>
            <w:vAlign w:val="center"/>
          </w:tcPr>
          <w:p w14:paraId="77B2DAB6">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所属行业</w:t>
            </w:r>
          </w:p>
        </w:tc>
      </w:tr>
      <w:tr w14:paraId="4F966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vAlign w:val="center"/>
          </w:tcPr>
          <w:p w14:paraId="24F72D99">
            <w:pPr>
              <w:pStyle w:val="23"/>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1</w:t>
            </w:r>
          </w:p>
        </w:tc>
        <w:tc>
          <w:tcPr>
            <w:tcW w:w="1417" w:type="dxa"/>
            <w:vAlign w:val="center"/>
          </w:tcPr>
          <w:p w14:paraId="6B9DA659">
            <w:pPr>
              <w:pStyle w:val="23"/>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应急管理部天津消防研究所全氟戊酮采购项目</w:t>
            </w:r>
          </w:p>
        </w:tc>
        <w:tc>
          <w:tcPr>
            <w:tcW w:w="1134" w:type="dxa"/>
            <w:vAlign w:val="center"/>
          </w:tcPr>
          <w:p w14:paraId="4EA1CF6F">
            <w:pPr>
              <w:pStyle w:val="23"/>
              <w:snapToGrid w:val="0"/>
              <w:jc w:val="center"/>
              <w:rPr>
                <w:rFonts w:ascii="Times New Roman" w:hAnsi="Times New Roman" w:eastAsia="宋体" w:cs="Times New Roman"/>
                <w:color w:val="auto"/>
                <w:sz w:val="21"/>
                <w:szCs w:val="21"/>
              </w:rPr>
            </w:pPr>
            <w:r>
              <w:rPr>
                <w:rFonts w:ascii="Times New Roman" w:hAnsi="Times New Roman" w:cs="Times New Roman" w:eastAsiaTheme="minorEastAsia"/>
                <w:color w:val="auto"/>
                <w:sz w:val="21"/>
                <w:szCs w:val="21"/>
              </w:rPr>
              <w:t>676500</w:t>
            </w:r>
            <w:r>
              <w:rPr>
                <w:rFonts w:hint="eastAsia" w:ascii="Times New Roman" w:hAnsi="Times New Roman" w:cs="Times New Roman" w:eastAsiaTheme="minorEastAsia"/>
                <w:color w:val="auto"/>
                <w:sz w:val="21"/>
                <w:szCs w:val="21"/>
              </w:rPr>
              <w:t>元</w:t>
            </w:r>
          </w:p>
        </w:tc>
        <w:tc>
          <w:tcPr>
            <w:tcW w:w="1560" w:type="dxa"/>
            <w:vAlign w:val="center"/>
          </w:tcPr>
          <w:p w14:paraId="547492A6">
            <w:pPr>
              <w:pStyle w:val="23"/>
              <w:snapToGrid w:val="0"/>
              <w:jc w:val="center"/>
              <w:rPr>
                <w:rFonts w:ascii="Times New Roman" w:hAnsi="Times New Roman" w:eastAsia="宋体" w:cs="Times New Roman"/>
                <w:color w:val="auto"/>
                <w:sz w:val="21"/>
                <w:szCs w:val="21"/>
              </w:rPr>
            </w:pPr>
            <w:r>
              <w:rPr>
                <w:rFonts w:hint="eastAsia" w:ascii="Times New Roman" w:hAnsi="Times New Roman" w:cs="Times New Roman" w:eastAsiaTheme="minorEastAsia"/>
                <w:color w:val="auto"/>
                <w:sz w:val="21"/>
                <w:szCs w:val="21"/>
              </w:rPr>
              <w:t>无</w:t>
            </w:r>
          </w:p>
        </w:tc>
        <w:tc>
          <w:tcPr>
            <w:tcW w:w="2972" w:type="dxa"/>
            <w:vAlign w:val="center"/>
          </w:tcPr>
          <w:p w14:paraId="253AA69F">
            <w:pPr>
              <w:pStyle w:val="23"/>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合同签订后45日内完成首批1025kg全氟戊酮药剂交付，合同签订后90日内完成其余1025kg全氟戊酮药剂交付</w:t>
            </w:r>
          </w:p>
        </w:tc>
        <w:tc>
          <w:tcPr>
            <w:tcW w:w="1389" w:type="dxa"/>
            <w:vAlign w:val="center"/>
          </w:tcPr>
          <w:p w14:paraId="661944B2">
            <w:pPr>
              <w:pStyle w:val="23"/>
              <w:snapToGrid w:val="0"/>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工业</w:t>
            </w:r>
          </w:p>
        </w:tc>
      </w:tr>
    </w:tbl>
    <w:p w14:paraId="4C85FED8">
      <w:pPr>
        <w:tabs>
          <w:tab w:val="left" w:pos="210"/>
        </w:tabs>
        <w:autoSpaceDE w:val="0"/>
        <w:autoSpaceDN w:val="0"/>
        <w:adjustRightInd w:val="0"/>
        <w:spacing w:line="360" w:lineRule="auto"/>
        <w:ind w:firstLine="480" w:firstLineChars="200"/>
        <w:outlineLvl w:val="0"/>
        <w:rPr>
          <w:strike/>
          <w:sz w:val="24"/>
          <w:szCs w:val="24"/>
        </w:rPr>
      </w:pPr>
      <w:r>
        <w:rPr>
          <w:sz w:val="24"/>
          <w:szCs w:val="24"/>
          <w:lang w:val="zh-CN"/>
        </w:rPr>
        <w:t>本项目</w:t>
      </w:r>
      <w:r>
        <w:rPr>
          <w:rFonts w:hint="eastAsia"/>
          <w:sz w:val="24"/>
          <w:szCs w:val="24"/>
          <w:lang w:val="zh-CN"/>
        </w:rPr>
        <w:t>不接受进口产品投标。</w:t>
      </w:r>
    </w:p>
    <w:p w14:paraId="714D149E">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ascii="Times New Roman" w:hAnsi="Times New Roman" w:cs="Times New Roman" w:eastAsiaTheme="minorEastAsia"/>
          <w:color w:val="auto"/>
          <w:szCs w:val="32"/>
        </w:rPr>
        <w:t>供应商资格要求（实质性要求）</w:t>
      </w:r>
    </w:p>
    <w:p w14:paraId="3764E72E">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（一）供应商应具备《中华人民共和国政府采购法》第二十二条第一款和《政府采购法实施条例》第十八条规定的条件，提供以下材料：</w:t>
      </w:r>
    </w:p>
    <w:p w14:paraId="0C8E49D9">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52B16962">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3D32B6F1">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、项目需要落实的政府采购政策</w:t>
      </w:r>
    </w:p>
    <w:p w14:paraId="356005A5">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（一）全部货物均由小微企业制造的，对符合规定的小微企业制造的产品报价给予20%的扣除。货物既有小微企业制造的货物，也有大中企业制造的货物，不享受此扶持政策。</w:t>
      </w:r>
    </w:p>
    <w:p w14:paraId="5CA7D3F4">
      <w:pPr>
        <w:pStyle w:val="2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62A22097">
      <w:pPr>
        <w:pStyle w:val="2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（三）根据财政部、民政部、中国残疾人联合会发布的《关于促进残疾人就业政府采购政策的通知》规定，残疾人福利性单位视同小微企业。</w:t>
      </w:r>
    </w:p>
    <w:p w14:paraId="6D69FA5D">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17C98C89">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637BA802">
      <w:pPr>
        <w:pStyle w:val="2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14:paraId="38F99FF2">
      <w:pPr>
        <w:pStyle w:val="2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（六）</w:t>
      </w:r>
      <w:bookmarkStart w:id="0" w:name="OLE_LINK1"/>
      <w:bookmarkStart w:id="1" w:name="OLE_LINK3"/>
      <w:bookmarkStart w:id="2" w:name="OLE_LINK2"/>
      <w:r>
        <w:rPr>
          <w:rFonts w:ascii="Times New Roman" w:hAnsi="Times New Roman" w:eastAsia="宋体" w:cs="Times New Roman"/>
          <w:color w:val="auto"/>
        </w:rPr>
        <w:t>按照《关于调整优化节能产品、环境标志产品政府采购执行机制的通知》（财库〔2019〕9号）、《关于印发环境标志产品政府采购品目清单的通知》</w:t>
      </w:r>
      <w:bookmarkStart w:id="3" w:name="OLE_LINK4"/>
      <w:bookmarkStart w:id="4" w:name="OLE_LINK5"/>
      <w:r>
        <w:rPr>
          <w:rFonts w:ascii="Times New Roman" w:hAnsi="Times New Roman" w:eastAsia="宋体" w:cs="Times New Roman"/>
          <w:color w:val="auto"/>
        </w:rPr>
        <w:t>（财库〔2019〕18号）</w:t>
      </w:r>
      <w:bookmarkEnd w:id="3"/>
      <w:bookmarkEnd w:id="4"/>
      <w:r>
        <w:rPr>
          <w:rFonts w:ascii="Times New Roman" w:hAnsi="Times New Roman" w:eastAsia="宋体" w:cs="Times New Roman"/>
          <w:color w:val="auto"/>
        </w:rPr>
        <w:t>、《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和强制采购的评标方法。</w:t>
      </w:r>
      <w:bookmarkEnd w:id="0"/>
      <w:bookmarkEnd w:id="1"/>
      <w:bookmarkEnd w:id="2"/>
    </w:p>
    <w:p w14:paraId="12A30E82">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七）既有本国产品又有非本国产品参与竞争的，对本国产品的报价给予20%的价格扣除。当采购项目或者采购包中含有多种产品，供应商为该采购项目或者采购包提供的符合本国产品标准的产品成本之和占该供应商提供的全部产品成本之和的比例达到80%以上时，对该供应商提供的全部产品的总报价给予20%的价格扣除。</w:t>
      </w:r>
    </w:p>
    <w:p w14:paraId="76132506">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（八）根据《关于推动解决政府采购异常低价问题的通知》（财库〔2026〕2号）的要求，当供应商报价出现以下情形之一时，评标委员会应当启动对该供应商的异常低价审查程序：</w:t>
      </w:r>
    </w:p>
    <w:p w14:paraId="6C16D6DC">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供应商报价&lt;全部通过符合性审查供应商报价平均值×50%；</w:t>
      </w:r>
    </w:p>
    <w:p w14:paraId="4AA01C20">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供应商报价&lt;通过符合性审查的次低供应商报价×50%；</w:t>
      </w:r>
    </w:p>
    <w:p w14:paraId="4C8D5211">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供应商报价&lt;最高限价×45%；</w:t>
      </w:r>
    </w:p>
    <w:p w14:paraId="3059A475">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4. 评标委员会基于专业判断，认为供应商报价过低，有可能影响产品质量或者不能诚信履约的其他情形。</w:t>
      </w:r>
    </w:p>
    <w:p w14:paraId="3350D2FC">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五、参与本项目的步骤、时间与方式</w:t>
      </w:r>
    </w:p>
    <w:p w14:paraId="20BCC046">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（一）</w:t>
      </w:r>
      <w:r>
        <w:rPr>
          <w:rFonts w:hint="eastAsia" w:ascii="Times New Roman" w:hAnsi="Times New Roman" w:cs="Times New Roman" w:eastAsiaTheme="minorEastAsia"/>
          <w:color w:val="auto"/>
          <w:szCs w:val="32"/>
        </w:rPr>
        <w:t>参与本项目的时间要求</w:t>
      </w:r>
    </w:p>
    <w:tbl>
      <w:tblPr>
        <w:tblStyle w:val="2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941"/>
        <w:gridCol w:w="1891"/>
        <w:gridCol w:w="2127"/>
        <w:gridCol w:w="2868"/>
      </w:tblGrid>
      <w:tr w14:paraId="5030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9" w:type="dxa"/>
            <w:vAlign w:val="center"/>
          </w:tcPr>
          <w:p w14:paraId="10CE144C">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序号</w:t>
            </w:r>
          </w:p>
        </w:tc>
        <w:tc>
          <w:tcPr>
            <w:tcW w:w="1941" w:type="dxa"/>
            <w:vAlign w:val="center"/>
          </w:tcPr>
          <w:p w14:paraId="6DBE21DC">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步骤名称</w:t>
            </w:r>
          </w:p>
        </w:tc>
        <w:tc>
          <w:tcPr>
            <w:tcW w:w="1891" w:type="dxa"/>
            <w:vAlign w:val="center"/>
          </w:tcPr>
          <w:p w14:paraId="2C81D455">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开始时间</w:t>
            </w:r>
          </w:p>
        </w:tc>
        <w:tc>
          <w:tcPr>
            <w:tcW w:w="2127" w:type="dxa"/>
            <w:vAlign w:val="center"/>
          </w:tcPr>
          <w:p w14:paraId="5AD8679A">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截止时间</w:t>
            </w:r>
          </w:p>
        </w:tc>
        <w:tc>
          <w:tcPr>
            <w:tcW w:w="2868" w:type="dxa"/>
            <w:vAlign w:val="center"/>
          </w:tcPr>
          <w:p w14:paraId="2CB1FC67">
            <w:pPr>
              <w:pStyle w:val="23"/>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备注</w:t>
            </w:r>
          </w:p>
        </w:tc>
      </w:tr>
      <w:tr w14:paraId="6BB0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49C2A716">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1</w:t>
            </w:r>
          </w:p>
        </w:tc>
        <w:tc>
          <w:tcPr>
            <w:tcW w:w="1941" w:type="dxa"/>
            <w:vAlign w:val="center"/>
          </w:tcPr>
          <w:p w14:paraId="56622AE9">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获取招标文件</w:t>
            </w:r>
          </w:p>
        </w:tc>
        <w:tc>
          <w:tcPr>
            <w:tcW w:w="1891" w:type="dxa"/>
            <w:vAlign w:val="center"/>
          </w:tcPr>
          <w:p w14:paraId="20C75BB2">
            <w:pPr>
              <w:pStyle w:val="23"/>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6</w:t>
            </w:r>
            <w:r>
              <w:rPr>
                <w:rFonts w:ascii="Times New Roman" w:hAnsi="Times New Roman" w:eastAsia="宋体" w:cs="Times New Roman"/>
                <w:color w:val="auto"/>
                <w:sz w:val="21"/>
                <w:szCs w:val="21"/>
              </w:rPr>
              <w:t>日</w:t>
            </w:r>
          </w:p>
        </w:tc>
        <w:tc>
          <w:tcPr>
            <w:tcW w:w="2127" w:type="dxa"/>
            <w:vAlign w:val="center"/>
          </w:tcPr>
          <w:p w14:paraId="6CD4EC49">
            <w:pPr>
              <w:pStyle w:val="23"/>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13</w:t>
            </w:r>
            <w:r>
              <w:rPr>
                <w:rFonts w:ascii="Times New Roman" w:hAnsi="Times New Roman" w:eastAsia="宋体" w:cs="Times New Roman"/>
                <w:color w:val="auto"/>
                <w:sz w:val="21"/>
                <w:szCs w:val="21"/>
              </w:rPr>
              <w:t>日</w:t>
            </w:r>
          </w:p>
        </w:tc>
        <w:tc>
          <w:tcPr>
            <w:tcW w:w="2868" w:type="dxa"/>
            <w:vAlign w:val="center"/>
          </w:tcPr>
          <w:p w14:paraId="5C23459A">
            <w:pPr>
              <w:pStyle w:val="23"/>
              <w:snapToGrid w:val="0"/>
              <w:jc w:val="both"/>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每日9:00至17:00（北京时间，法定节假日除外）。</w:t>
            </w:r>
          </w:p>
          <w:p w14:paraId="7F7BE1B1">
            <w:pPr>
              <w:pStyle w:val="23"/>
              <w:snapToGrid w:val="0"/>
              <w:jc w:val="both"/>
              <w:rPr>
                <w:rFonts w:ascii="Times New Roman" w:hAnsi="Times New Roman" w:eastAsia="宋体"/>
                <w:color w:val="auto"/>
                <w:sz w:val="21"/>
                <w:szCs w:val="21"/>
              </w:rPr>
            </w:pPr>
            <w:r>
              <w:rPr>
                <w:rFonts w:hint="eastAsia" w:ascii="Times New Roman" w:hAnsi="Times New Roman" w:eastAsia="宋体" w:cs="Times New Roman"/>
                <w:color w:val="auto"/>
                <w:sz w:val="21"/>
                <w:szCs w:val="21"/>
              </w:rPr>
              <w:t>未按时获取招标文件的，不能参与本项目</w:t>
            </w:r>
          </w:p>
        </w:tc>
      </w:tr>
      <w:tr w14:paraId="408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04C35F21">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w:t>
            </w:r>
          </w:p>
        </w:tc>
        <w:tc>
          <w:tcPr>
            <w:tcW w:w="1941" w:type="dxa"/>
            <w:vAlign w:val="center"/>
          </w:tcPr>
          <w:p w14:paraId="6C7C2FE7">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网上应答（上传电子投标文件）</w:t>
            </w:r>
          </w:p>
        </w:tc>
        <w:tc>
          <w:tcPr>
            <w:tcW w:w="1891" w:type="dxa"/>
            <w:vAlign w:val="center"/>
          </w:tcPr>
          <w:p w14:paraId="7ABCCD23">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6</w:t>
            </w:r>
            <w:r>
              <w:rPr>
                <w:rFonts w:hint="eastAsia" w:ascii="Times New Roman" w:hAnsi="Times New Roman" w:eastAsia="宋体"/>
                <w:color w:val="auto"/>
                <w:sz w:val="21"/>
                <w:szCs w:val="21"/>
              </w:rPr>
              <w:t>日9:00</w:t>
            </w:r>
          </w:p>
        </w:tc>
        <w:tc>
          <w:tcPr>
            <w:tcW w:w="2127" w:type="dxa"/>
            <w:vAlign w:val="center"/>
          </w:tcPr>
          <w:p w14:paraId="52E76121">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27</w:t>
            </w:r>
            <w:r>
              <w:rPr>
                <w:rFonts w:hint="eastAsia" w:ascii="Times New Roman" w:hAnsi="Times New Roman" w:eastAsia="宋体"/>
                <w:color w:val="auto"/>
                <w:sz w:val="21"/>
                <w:szCs w:val="21"/>
              </w:rPr>
              <w:t>日8:30</w:t>
            </w:r>
          </w:p>
        </w:tc>
        <w:tc>
          <w:tcPr>
            <w:tcW w:w="2868" w:type="dxa"/>
            <w:vAlign w:val="center"/>
          </w:tcPr>
          <w:p w14:paraId="50C0DF3E">
            <w:pPr>
              <w:pStyle w:val="23"/>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未按时完成网上应答或未按时上传电子投标文件的，视为无效投标。</w:t>
            </w:r>
          </w:p>
        </w:tc>
      </w:tr>
      <w:tr w14:paraId="49D7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9" w:type="dxa"/>
            <w:vAlign w:val="center"/>
          </w:tcPr>
          <w:p w14:paraId="49D9B688">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3</w:t>
            </w:r>
          </w:p>
        </w:tc>
        <w:tc>
          <w:tcPr>
            <w:tcW w:w="1941" w:type="dxa"/>
            <w:vAlign w:val="center"/>
          </w:tcPr>
          <w:p w14:paraId="14E7B46B">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开标解密</w:t>
            </w:r>
          </w:p>
        </w:tc>
        <w:tc>
          <w:tcPr>
            <w:tcW w:w="1891" w:type="dxa"/>
            <w:vAlign w:val="center"/>
          </w:tcPr>
          <w:p w14:paraId="20567F86">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27</w:t>
            </w:r>
            <w:r>
              <w:rPr>
                <w:rFonts w:hint="eastAsia" w:ascii="Times New Roman" w:hAnsi="Times New Roman" w:eastAsia="宋体"/>
                <w:color w:val="auto"/>
                <w:sz w:val="21"/>
                <w:szCs w:val="21"/>
              </w:rPr>
              <w:t>日8:30</w:t>
            </w:r>
          </w:p>
        </w:tc>
        <w:tc>
          <w:tcPr>
            <w:tcW w:w="2127" w:type="dxa"/>
            <w:vAlign w:val="center"/>
          </w:tcPr>
          <w:p w14:paraId="622ADE37">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27</w:t>
            </w:r>
            <w:r>
              <w:rPr>
                <w:rFonts w:hint="eastAsia" w:ascii="Times New Roman" w:hAnsi="Times New Roman" w:eastAsia="宋体"/>
                <w:color w:val="auto"/>
                <w:sz w:val="21"/>
                <w:szCs w:val="21"/>
              </w:rPr>
              <w:t>日9:30</w:t>
            </w:r>
          </w:p>
        </w:tc>
        <w:tc>
          <w:tcPr>
            <w:tcW w:w="2868" w:type="dxa"/>
            <w:vAlign w:val="center"/>
          </w:tcPr>
          <w:p w14:paraId="1943EA16">
            <w:pPr>
              <w:pStyle w:val="23"/>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未按时完成开标解密的，视为无效投标。</w:t>
            </w:r>
          </w:p>
        </w:tc>
      </w:tr>
      <w:tr w14:paraId="676C8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58E9445C">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4</w:t>
            </w:r>
          </w:p>
        </w:tc>
        <w:tc>
          <w:tcPr>
            <w:tcW w:w="1941" w:type="dxa"/>
            <w:vAlign w:val="center"/>
          </w:tcPr>
          <w:p w14:paraId="0F2E30D6">
            <w:pPr>
              <w:pStyle w:val="23"/>
              <w:snapToGrid w:val="0"/>
              <w:jc w:val="center"/>
              <w:rPr>
                <w:rFonts w:ascii="Times New Roman" w:hAnsi="Times New Roman" w:eastAsia="宋体"/>
                <w:color w:val="auto"/>
                <w:sz w:val="21"/>
                <w:szCs w:val="21"/>
              </w:rPr>
            </w:pPr>
            <w:r>
              <w:rPr>
                <w:rFonts w:ascii="Times New Roman" w:hAnsi="Times New Roman" w:eastAsia="宋体"/>
                <w:color w:val="auto"/>
                <w:sz w:val="21"/>
                <w:szCs w:val="21"/>
              </w:rPr>
              <w:t>网上开标公示</w:t>
            </w:r>
          </w:p>
        </w:tc>
        <w:tc>
          <w:tcPr>
            <w:tcW w:w="1891" w:type="dxa"/>
            <w:vAlign w:val="center"/>
          </w:tcPr>
          <w:p w14:paraId="515E448E">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27</w:t>
            </w:r>
            <w:r>
              <w:rPr>
                <w:rFonts w:hint="eastAsia" w:ascii="Times New Roman" w:hAnsi="Times New Roman" w:eastAsia="宋体"/>
                <w:color w:val="auto"/>
                <w:sz w:val="21"/>
                <w:szCs w:val="21"/>
              </w:rPr>
              <w:t>日9:30</w:t>
            </w:r>
          </w:p>
        </w:tc>
        <w:tc>
          <w:tcPr>
            <w:tcW w:w="2127" w:type="dxa"/>
            <w:vAlign w:val="center"/>
          </w:tcPr>
          <w:p w14:paraId="2504E7C3">
            <w:pPr>
              <w:pStyle w:val="23"/>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w:t>
            </w:r>
            <w:r>
              <w:rPr>
                <w:rFonts w:hint="eastAsia" w:ascii="Times New Roman" w:hAnsi="Times New Roman" w:eastAsia="宋体" w:cs="Times New Roman"/>
                <w:color w:val="auto"/>
                <w:sz w:val="21"/>
                <w:szCs w:val="21"/>
              </w:rPr>
              <w:t>2</w:t>
            </w:r>
            <w:r>
              <w:rPr>
                <w:rFonts w:hint="eastAsia" w:ascii="Times New Roman" w:hAnsi="Times New Roman" w:eastAsia="宋体"/>
                <w:color w:val="auto"/>
                <w:sz w:val="21"/>
                <w:szCs w:val="21"/>
              </w:rPr>
              <w:t>月</w:t>
            </w:r>
            <w:r>
              <w:rPr>
                <w:rFonts w:hint="eastAsia" w:ascii="Times New Roman" w:hAnsi="Times New Roman" w:eastAsia="宋体" w:cs="Times New Roman"/>
                <w:color w:val="auto"/>
                <w:sz w:val="21"/>
                <w:szCs w:val="21"/>
              </w:rPr>
              <w:t>27</w:t>
            </w:r>
            <w:r>
              <w:rPr>
                <w:rFonts w:hint="eastAsia" w:ascii="Times New Roman" w:hAnsi="Times New Roman" w:eastAsia="宋体"/>
                <w:color w:val="auto"/>
                <w:sz w:val="21"/>
                <w:szCs w:val="21"/>
              </w:rPr>
              <w:t>日12:00</w:t>
            </w:r>
          </w:p>
        </w:tc>
        <w:tc>
          <w:tcPr>
            <w:tcW w:w="2868" w:type="dxa"/>
            <w:vAlign w:val="center"/>
          </w:tcPr>
          <w:p w14:paraId="4B4A4612">
            <w:pPr>
              <w:pStyle w:val="23"/>
              <w:snapToGrid w:val="0"/>
              <w:jc w:val="both"/>
              <w:rPr>
                <w:rFonts w:ascii="Times New Roman" w:hAnsi="Times New Roman" w:eastAsia="宋体"/>
                <w:color w:val="auto"/>
                <w:sz w:val="21"/>
                <w:szCs w:val="21"/>
              </w:rPr>
            </w:pPr>
          </w:p>
        </w:tc>
      </w:tr>
    </w:tbl>
    <w:p w14:paraId="0D2A0D7D">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（二）参与本项目的方式要求</w:t>
      </w:r>
    </w:p>
    <w:p w14:paraId="223B201A">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21CC33DC">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38CBF98B">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2152197F">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0864783B">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54873866">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 xml:space="preserve">2. </w:t>
      </w:r>
      <w:r>
        <w:rPr>
          <w:rFonts w:ascii="Times New Roman" w:hAnsi="Times New Roman" w:eastAsia="宋体" w:cs="Times New Roman"/>
          <w:color w:val="auto"/>
        </w:rPr>
        <w:t>获取招标文件的方式</w:t>
      </w:r>
    </w:p>
    <w:p w14:paraId="4D8CD2CE">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采用</w:t>
      </w:r>
      <w:r>
        <w:rPr>
          <w:rFonts w:ascii="Times New Roman" w:hAnsi="Times New Roman" w:eastAsia="宋体" w:cs="Times New Roman"/>
          <w:color w:val="auto"/>
        </w:rPr>
        <w:t>网上获取电子</w:t>
      </w:r>
      <w:r>
        <w:rPr>
          <w:rFonts w:hint="eastAsia" w:ascii="Times New Roman" w:hAnsi="Times New Roman" w:eastAsia="宋体" w:cs="Times New Roman"/>
          <w:color w:val="auto"/>
        </w:rPr>
        <w:t>招标</w:t>
      </w:r>
      <w:r>
        <w:rPr>
          <w:rFonts w:ascii="Times New Roman" w:hAnsi="Times New Roman" w:eastAsia="宋体" w:cs="Times New Roman"/>
          <w:color w:val="auto"/>
        </w:rPr>
        <w:t>文件的方式，供应商应于规定的时间内使用天津数字认证有限公司发出的CA数字证书（原天津市电子认证中心发出尚在有效期内的CA数字证书仍可使用）登录天津市政府采购中心网（网址：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22"/>
          <w:rFonts w:hint="eastAsia" w:ascii="Times New Roman" w:hAnsi="Times New Roman"/>
        </w:rPr>
        <w:t>http://tjgpc.zwfwb.tj.gov.cn</w:t>
      </w:r>
      <w:r>
        <w:rPr>
          <w:rStyle w:val="22"/>
          <w:rFonts w:hint="eastAsia" w:ascii="Times New Roman" w:hAnsi="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475B1CE9">
      <w:pPr>
        <w:pStyle w:val="23"/>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3. 网上应答（上传电子投标文件）方式</w:t>
      </w:r>
    </w:p>
    <w:p w14:paraId="5C68B27B">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采用网上电子投标方式，投标人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w:t>
      </w:r>
      <w:r>
        <w:rPr>
          <w:rFonts w:ascii="Times New Roman" w:hAnsi="Times New Roman" w:eastAsia="宋体" w:cs="Times New Roman"/>
          <w:color w:val="auto"/>
        </w:rPr>
        <w:t>的时间</w:t>
      </w:r>
      <w:r>
        <w:rPr>
          <w:rFonts w:hint="eastAsia" w:ascii="Times New Roman" w:hAnsi="Times New Roman" w:eastAsia="宋体" w:cs="Times New Roman"/>
          <w:color w:val="auto"/>
        </w:rPr>
        <w:t>内</w:t>
      </w:r>
      <w:r>
        <w:rPr>
          <w:rFonts w:ascii="Times New Roman" w:hAnsi="Times New Roman" w:eastAsia="宋体" w:cs="Times New Roman"/>
          <w:color w:val="auto"/>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w:t>
      </w:r>
      <w:r>
        <w:rPr>
          <w:rFonts w:ascii="Times New Roman" w:hAnsi="Times New Roman" w:eastAsia="宋体" w:cs="Times New Roman"/>
          <w:color w:val="auto"/>
        </w:rPr>
        <w:t xml:space="preserve"> 进行网上应答</w:t>
      </w:r>
      <w:r>
        <w:rPr>
          <w:rFonts w:hint="eastAsia" w:ascii="Times New Roman" w:hAnsi="Times New Roman" w:eastAsia="宋体" w:cs="Times New Roman"/>
          <w:color w:val="auto"/>
        </w:rPr>
        <w:t>及提交，并上传加盖投标人电子签章的电子投标文件（以通过天津公共资源电子签章客户端正确读取签章信息为准），否则视为无效投标。</w:t>
      </w:r>
    </w:p>
    <w:p w14:paraId="2A8390CA">
      <w:pPr>
        <w:pStyle w:val="23"/>
        <w:spacing w:line="360" w:lineRule="auto"/>
        <w:ind w:firstLine="480" w:firstLineChars="200"/>
        <w:rPr>
          <w:rFonts w:ascii="Times New Roman" w:hAnsi="Times New Roman" w:eastAsia="宋体"/>
          <w:color w:val="auto"/>
        </w:rPr>
      </w:pPr>
      <w:r>
        <w:rPr>
          <w:rFonts w:ascii="Times New Roman" w:hAnsi="Times New Roman" w:eastAsia="宋体" w:cs="Times New Roman"/>
          <w:color w:val="auto"/>
        </w:rPr>
        <w:t>网上应答帮助链接：http://tjgpc.zwfwb.tj.gov.cn/webInfo/getWebInfoListForwebInfoClass.do?fkWebInfoclassId=W008</w:t>
      </w:r>
    </w:p>
    <w:p w14:paraId="78C2893D">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4. 开标解密方式</w:t>
      </w:r>
    </w:p>
    <w:p w14:paraId="28C824D8">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采用网上开标解密方式，投标人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规定的时间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r>
        <w:rPr>
          <w:rFonts w:hint="eastAsia" w:ascii="Times New Roman" w:hAnsi="Times New Roman" w:eastAsia="宋体" w:cs="Times New Roman"/>
          <w:color w:val="auto"/>
        </w:rPr>
        <w:t>，否则视为无效投标。</w:t>
      </w:r>
    </w:p>
    <w:p w14:paraId="112617AB">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5. </w:t>
      </w:r>
      <w:r>
        <w:rPr>
          <w:rFonts w:ascii="Times New Roman" w:hAnsi="Times New Roman" w:eastAsia="宋体" w:cs="Times New Roman"/>
          <w:color w:val="auto"/>
        </w:rPr>
        <w:t>网上开标公示方式</w:t>
      </w:r>
    </w:p>
    <w:p w14:paraId="17C0EB04">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2E9DB606">
      <w:pPr>
        <w:pStyle w:val="23"/>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供应商应按以上步骤顺序、时间及方式要求参与本项目，否则视为不参与本项目。</w:t>
      </w:r>
    </w:p>
    <w:p w14:paraId="3FE2283C">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六、现场考察、标前答疑会</w:t>
      </w:r>
    </w:p>
    <w:p w14:paraId="0B6E52C1">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本项目不组织现场考察</w:t>
      </w:r>
      <w:r>
        <w:rPr>
          <w:rFonts w:ascii="Times New Roman" w:hAnsi="Times New Roman" w:eastAsia="宋体" w:cs="Times New Roman"/>
          <w:color w:val="auto"/>
        </w:rPr>
        <w:t>。</w:t>
      </w:r>
    </w:p>
    <w:p w14:paraId="0342DE7F">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本项目不组织标前答疑会</w:t>
      </w:r>
      <w:r>
        <w:rPr>
          <w:rFonts w:ascii="Times New Roman" w:hAnsi="Times New Roman" w:eastAsia="宋体" w:cs="Times New Roman"/>
          <w:color w:val="auto"/>
        </w:rPr>
        <w:t>。</w:t>
      </w:r>
    </w:p>
    <w:p w14:paraId="17B1B317">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七、采购代理机构</w:t>
      </w:r>
      <w:r>
        <w:rPr>
          <w:rFonts w:hint="eastAsia" w:ascii="Times New Roman" w:hAnsi="Times New Roman" w:eastAsia="宋体" w:cs="Times New Roman"/>
          <w:color w:val="auto"/>
        </w:rPr>
        <w:t>信息</w:t>
      </w:r>
    </w:p>
    <w:p w14:paraId="016EF83E">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04CA4ABD">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5E51AB78">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联系人：范志刚</w:t>
      </w:r>
    </w:p>
    <w:p w14:paraId="5CA74A92">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5523FE83">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4BCEFFC7">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25A1A0EB">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68C3616D">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0E428589">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8217</w:t>
      </w:r>
    </w:p>
    <w:p w14:paraId="7D78022E">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79285F82">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八</w:t>
      </w:r>
      <w:r>
        <w:rPr>
          <w:rFonts w:ascii="Times New Roman" w:hAnsi="Times New Roman" w:eastAsia="宋体" w:cs="Times New Roman"/>
          <w:color w:val="auto"/>
        </w:rPr>
        <w:t>、采购人</w:t>
      </w:r>
      <w:r>
        <w:rPr>
          <w:rFonts w:hint="eastAsia" w:ascii="Times New Roman" w:hAnsi="Times New Roman" w:eastAsia="宋体" w:cs="Times New Roman"/>
          <w:color w:val="auto"/>
        </w:rPr>
        <w:t>信息</w:t>
      </w:r>
    </w:p>
    <w:p w14:paraId="762DDB04">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（一）采购人名称：应急管理部天津消防研究所</w:t>
      </w:r>
    </w:p>
    <w:p w14:paraId="39122E30">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（二）采购人地址：天津市南开区卫津南路110号</w:t>
      </w:r>
    </w:p>
    <w:p w14:paraId="77605773">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（三）采购人联系人：朱耐思</w:t>
      </w:r>
    </w:p>
    <w:p w14:paraId="4B407CB0">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（四）采购人联系电话：022-28060814</w:t>
      </w:r>
    </w:p>
    <w:p w14:paraId="0AE802C2">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、质疑方式</w:t>
      </w:r>
    </w:p>
    <w:p w14:paraId="31151070">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0D0624CA">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1011C593">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联系部门：应急管理部天津消防研究所办公室</w:t>
      </w:r>
    </w:p>
    <w:p w14:paraId="5C4DFF8F">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联系地址：天津市南开区卫津南路110号</w:t>
      </w:r>
    </w:p>
    <w:p w14:paraId="5929309D">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人：纪健雄</w:t>
      </w:r>
    </w:p>
    <w:p w14:paraId="02BCB6F6">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联系方式：022-23861107</w:t>
      </w:r>
    </w:p>
    <w:p w14:paraId="7939EFFC">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十、公告期限</w:t>
      </w:r>
    </w:p>
    <w:p w14:paraId="4A9C7311">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3601B542">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、招标代理服务费</w:t>
      </w:r>
    </w:p>
    <w:p w14:paraId="0C895BE4">
      <w:pPr>
        <w:pStyle w:val="2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57D63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23AB3C82">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2CCF30E2">
            <w:pPr>
              <w:tabs>
                <w:tab w:val="left" w:pos="750"/>
                <w:tab w:val="left" w:pos="840"/>
              </w:tabs>
              <w:adjustRightInd w:val="0"/>
              <w:snapToGrid w:val="0"/>
              <w:jc w:val="center"/>
              <w:rPr>
                <w:sz w:val="24"/>
              </w:rPr>
            </w:pPr>
            <w:r>
              <w:rPr>
                <w:sz w:val="24"/>
              </w:rPr>
              <w:t>费率</w:t>
            </w:r>
          </w:p>
        </w:tc>
      </w:tr>
      <w:tr w14:paraId="11BE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2ED078E">
            <w:pPr>
              <w:tabs>
                <w:tab w:val="left" w:pos="750"/>
                <w:tab w:val="left" w:pos="840"/>
              </w:tabs>
              <w:adjustRightInd w:val="0"/>
              <w:snapToGrid w:val="0"/>
              <w:jc w:val="center"/>
              <w:rPr>
                <w:sz w:val="24"/>
              </w:rPr>
            </w:pPr>
            <w:r>
              <w:rPr>
                <w:sz w:val="24"/>
              </w:rPr>
              <w:t>100以下</w:t>
            </w:r>
          </w:p>
        </w:tc>
        <w:tc>
          <w:tcPr>
            <w:tcW w:w="3657" w:type="dxa"/>
            <w:vAlign w:val="center"/>
          </w:tcPr>
          <w:p w14:paraId="1D7C762F">
            <w:pPr>
              <w:tabs>
                <w:tab w:val="left" w:pos="750"/>
                <w:tab w:val="left" w:pos="840"/>
              </w:tabs>
              <w:adjustRightInd w:val="0"/>
              <w:snapToGrid w:val="0"/>
              <w:jc w:val="center"/>
              <w:rPr>
                <w:sz w:val="24"/>
              </w:rPr>
            </w:pPr>
            <w:r>
              <w:rPr>
                <w:sz w:val="24"/>
              </w:rPr>
              <w:t>1.</w:t>
            </w:r>
            <w:r>
              <w:rPr>
                <w:rFonts w:hint="eastAsia"/>
                <w:sz w:val="24"/>
              </w:rPr>
              <w:t>0</w:t>
            </w:r>
            <w:r>
              <w:rPr>
                <w:sz w:val="24"/>
              </w:rPr>
              <w:t>%</w:t>
            </w:r>
          </w:p>
        </w:tc>
      </w:tr>
      <w:tr w14:paraId="30B0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D92D256">
            <w:pPr>
              <w:tabs>
                <w:tab w:val="left" w:pos="750"/>
                <w:tab w:val="left" w:pos="840"/>
              </w:tabs>
              <w:adjustRightInd w:val="0"/>
              <w:snapToGrid w:val="0"/>
              <w:jc w:val="center"/>
              <w:rPr>
                <w:sz w:val="24"/>
              </w:rPr>
            </w:pPr>
            <w:r>
              <w:rPr>
                <w:sz w:val="24"/>
              </w:rPr>
              <w:t>100-500</w:t>
            </w:r>
          </w:p>
        </w:tc>
        <w:tc>
          <w:tcPr>
            <w:tcW w:w="3657" w:type="dxa"/>
            <w:vAlign w:val="center"/>
          </w:tcPr>
          <w:p w14:paraId="7412BB1D">
            <w:pPr>
              <w:tabs>
                <w:tab w:val="left" w:pos="750"/>
                <w:tab w:val="left" w:pos="840"/>
              </w:tabs>
              <w:adjustRightInd w:val="0"/>
              <w:snapToGrid w:val="0"/>
              <w:jc w:val="center"/>
              <w:rPr>
                <w:sz w:val="24"/>
              </w:rPr>
            </w:pPr>
            <w:r>
              <w:rPr>
                <w:rFonts w:hint="eastAsia"/>
                <w:sz w:val="24"/>
              </w:rPr>
              <w:t>0</w:t>
            </w:r>
            <w:r>
              <w:rPr>
                <w:sz w:val="24"/>
              </w:rPr>
              <w:t>.</w:t>
            </w:r>
            <w:r>
              <w:rPr>
                <w:rFonts w:hint="eastAsia"/>
                <w:sz w:val="24"/>
              </w:rPr>
              <w:t>8</w:t>
            </w:r>
            <w:r>
              <w:rPr>
                <w:sz w:val="24"/>
              </w:rPr>
              <w:t>%</w:t>
            </w:r>
          </w:p>
        </w:tc>
      </w:tr>
      <w:tr w14:paraId="04F3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94EC692">
            <w:pPr>
              <w:tabs>
                <w:tab w:val="left" w:pos="750"/>
                <w:tab w:val="left" w:pos="840"/>
              </w:tabs>
              <w:adjustRightInd w:val="0"/>
              <w:snapToGrid w:val="0"/>
              <w:jc w:val="center"/>
              <w:rPr>
                <w:sz w:val="24"/>
              </w:rPr>
            </w:pPr>
            <w:r>
              <w:rPr>
                <w:sz w:val="24"/>
              </w:rPr>
              <w:t>500-1000</w:t>
            </w:r>
          </w:p>
        </w:tc>
        <w:tc>
          <w:tcPr>
            <w:tcW w:w="3657" w:type="dxa"/>
            <w:vAlign w:val="center"/>
          </w:tcPr>
          <w:p w14:paraId="20C42D13">
            <w:pPr>
              <w:tabs>
                <w:tab w:val="left" w:pos="750"/>
                <w:tab w:val="left" w:pos="840"/>
              </w:tabs>
              <w:adjustRightInd w:val="0"/>
              <w:snapToGrid w:val="0"/>
              <w:jc w:val="center"/>
              <w:rPr>
                <w:sz w:val="24"/>
              </w:rPr>
            </w:pPr>
            <w:r>
              <w:rPr>
                <w:sz w:val="24"/>
              </w:rPr>
              <w:t>0.</w:t>
            </w:r>
            <w:r>
              <w:rPr>
                <w:rFonts w:hint="eastAsia"/>
                <w:sz w:val="24"/>
              </w:rPr>
              <w:t>65</w:t>
            </w:r>
            <w:r>
              <w:rPr>
                <w:sz w:val="24"/>
              </w:rPr>
              <w:t>%</w:t>
            </w:r>
          </w:p>
        </w:tc>
      </w:tr>
      <w:tr w14:paraId="170A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25E3AD46">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78936AD6">
            <w:pPr>
              <w:tabs>
                <w:tab w:val="left" w:pos="750"/>
                <w:tab w:val="left" w:pos="840"/>
              </w:tabs>
              <w:adjustRightInd w:val="0"/>
              <w:snapToGrid w:val="0"/>
              <w:jc w:val="center"/>
              <w:rPr>
                <w:sz w:val="24"/>
              </w:rPr>
            </w:pPr>
            <w:r>
              <w:rPr>
                <w:sz w:val="24"/>
              </w:rPr>
              <w:t>0.5%</w:t>
            </w:r>
          </w:p>
        </w:tc>
      </w:tr>
      <w:tr w14:paraId="5C1B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6BA0734">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4747716B">
            <w:pPr>
              <w:tabs>
                <w:tab w:val="left" w:pos="750"/>
                <w:tab w:val="left" w:pos="840"/>
              </w:tabs>
              <w:adjustRightInd w:val="0"/>
              <w:snapToGrid w:val="0"/>
              <w:jc w:val="center"/>
              <w:rPr>
                <w:sz w:val="24"/>
              </w:rPr>
            </w:pPr>
            <w:r>
              <w:rPr>
                <w:sz w:val="24"/>
              </w:rPr>
              <w:t>0.25%</w:t>
            </w:r>
          </w:p>
        </w:tc>
      </w:tr>
      <w:tr w14:paraId="502A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CA2A6A9">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0641AF11">
            <w:pPr>
              <w:tabs>
                <w:tab w:val="left" w:pos="750"/>
                <w:tab w:val="left" w:pos="840"/>
              </w:tabs>
              <w:adjustRightInd w:val="0"/>
              <w:snapToGrid w:val="0"/>
              <w:jc w:val="center"/>
              <w:rPr>
                <w:sz w:val="24"/>
              </w:rPr>
            </w:pPr>
            <w:r>
              <w:rPr>
                <w:sz w:val="24"/>
              </w:rPr>
              <w:t>0.05%</w:t>
            </w:r>
          </w:p>
        </w:tc>
      </w:tr>
    </w:tbl>
    <w:p w14:paraId="0894C2A3">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65</w:t>
      </w:r>
      <w:r>
        <w:rPr>
          <w:sz w:val="24"/>
          <w:lang w:val="zh-CN"/>
        </w:rPr>
        <w:t>%=</w:t>
      </w:r>
      <w:r>
        <w:rPr>
          <w:rFonts w:hint="eastAsia"/>
          <w:sz w:val="24"/>
          <w:lang w:val="zh-CN"/>
        </w:rPr>
        <w:t>53732.5</w:t>
      </w:r>
      <w:r>
        <w:rPr>
          <w:sz w:val="24"/>
          <w:lang w:val="zh-CN"/>
        </w:rPr>
        <w:t>元，服务费</w:t>
      </w:r>
      <w:r>
        <w:rPr>
          <w:rFonts w:hint="eastAsia"/>
          <w:sz w:val="24"/>
          <w:lang w:val="zh-CN"/>
        </w:rPr>
        <w:t>缴纳53732元。</w:t>
      </w:r>
      <w:r>
        <w:rPr>
          <w:sz w:val="24"/>
          <w:lang w:val="zh-CN"/>
        </w:rPr>
        <w:t>其中中标金额以《中标通知书》为准。</w:t>
      </w:r>
    </w:p>
    <w:p w14:paraId="343F4497">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070DCEE6">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1F3EE084">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5765842A">
      <w:pPr>
        <w:pStyle w:val="23"/>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1A9220DD">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5310D3A0">
      <w:pPr>
        <w:pStyle w:val="2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59AE9287">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3EA192FC">
      <w:pPr>
        <w:pStyle w:val="2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03BE3839">
      <w:pPr>
        <w:pStyle w:val="23"/>
        <w:spacing w:line="360" w:lineRule="auto"/>
        <w:ind w:firstLine="480" w:firstLineChars="200"/>
        <w:jc w:val="both"/>
        <w:rPr>
          <w:color w:val="auto"/>
          <w:lang w:val="zh-CN"/>
        </w:rPr>
      </w:pPr>
      <w:r>
        <w:rPr>
          <w:rFonts w:hint="eastAsia" w:ascii="Times New Roman" w:hAnsi="Times New Roman" w:eastAsia="宋体" w:cs="Times New Roman"/>
          <w:color w:val="auto"/>
          <w:kern w:val="2"/>
          <w:lang w:val="zh-CN"/>
        </w:rPr>
        <w:t>缴费及开票咨询电话：022-24532012</w:t>
      </w:r>
    </w:p>
    <w:p w14:paraId="3A00F105">
      <w:pPr>
        <w:pStyle w:val="23"/>
        <w:spacing w:line="360" w:lineRule="auto"/>
        <w:jc w:val="both"/>
        <w:rPr>
          <w:rFonts w:eastAsiaTheme="minorEastAsia"/>
          <w:color w:val="auto"/>
        </w:rPr>
      </w:pPr>
    </w:p>
    <w:p w14:paraId="2D0FC043">
      <w:pPr>
        <w:pStyle w:val="23"/>
        <w:spacing w:line="360" w:lineRule="auto"/>
        <w:ind w:right="480"/>
        <w:jc w:val="right"/>
        <w:rPr>
          <w:rFonts w:ascii="Times New Roman" w:hAnsi="Times New Roman" w:eastAsia="宋体" w:cs="Times New Roman"/>
          <w:color w:val="auto"/>
        </w:rPr>
      </w:pPr>
      <w:r>
        <w:rPr>
          <w:rFonts w:ascii="Times New Roman" w:hAnsi="Times New Roman" w:eastAsia="宋体" w:cs="Times New Roman"/>
          <w:color w:val="auto"/>
        </w:rPr>
        <w:t>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2</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 w:name=".......">
    <w:altName w:val="汉仪中黑KW"/>
    <w:panose1 w:val="00000000000000000000"/>
    <w:charset w:val="86"/>
    <w:family w:val="auto"/>
    <w:pitch w:val="default"/>
    <w:sig w:usb0="00000000" w:usb1="00000000" w:usb2="00000010" w:usb3="00000000" w:csb0="00040000" w:csb1="0000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 w:name="Arial Unicode MS">
    <w:altName w:val="Arial"/>
    <w:panose1 w:val="020B0604020202020204"/>
    <w:charset w:val="86"/>
    <w:family w:val="swiss"/>
    <w:pitch w:val="default"/>
    <w:sig w:usb0="00000000" w:usb1="00000000" w:usb2="0000003F" w:usb3="00000000" w:csb0="003F01FF" w:csb1="00000000"/>
  </w:font>
  <w:font w:name="仿宋_GB2312">
    <w:altName w:val="汉仪仿宋KW"/>
    <w:panose1 w:val="00000000000000000000"/>
    <w:charset w:val="86"/>
    <w:family w:val="modern"/>
    <w:pitch w:val="default"/>
    <w:sig w:usb0="00000000" w:usb1="00000000" w:usb2="00000000" w:usb3="00000000" w:csb0="00040000" w:csb1="00000000"/>
  </w:font>
  <w:font w:name="汉仪仿宋KW">
    <w:panose1 w:val="00020600040101010101"/>
    <w:charset w:val="86"/>
    <w:family w:val="auto"/>
    <w:pitch w:val="default"/>
    <w:sig w:usb0="A00002BF" w:usb1="18EF7CFA" w:usb2="00000016"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7F6A45"/>
    <w:multiLevelType w:val="multilevel"/>
    <w:tmpl w:val="367F6A45"/>
    <w:lvl w:ilvl="0" w:tentative="0">
      <w:start w:val="1"/>
      <w:numFmt w:val="decimal"/>
      <w:pStyle w:val="5"/>
      <w:lvlText w:val="%1."/>
      <w:lvlJc w:val="left"/>
      <w:pPr>
        <w:ind w:left="360" w:hanging="360"/>
      </w:pPr>
      <w:rPr>
        <w:rFonts w:hint="default"/>
      </w:rPr>
    </w:lvl>
    <w:lvl w:ilvl="1" w:tentative="0">
      <w:start w:val="1"/>
      <w:numFmt w:val="decimal"/>
      <w:pStyle w:val="4"/>
      <w:lvlText w:val="%1.%2"/>
      <w:lvlJc w:val="left"/>
      <w:pPr>
        <w:tabs>
          <w:tab w:val="left" w:pos="432"/>
        </w:tabs>
        <w:ind w:left="432" w:hanging="432"/>
      </w:pPr>
      <w:rPr>
        <w:rFonts w:hint="default"/>
      </w:rPr>
    </w:lvl>
    <w:lvl w:ilvl="2" w:tentative="0">
      <w:start w:val="1"/>
      <w:numFmt w:val="lowerLetter"/>
      <w:pStyle w:val="9"/>
      <w:lvlText w:val="%3."/>
      <w:lvlJc w:val="left"/>
      <w:pPr>
        <w:ind w:left="792" w:hanging="360"/>
      </w:pPr>
      <w:rPr>
        <w:rFonts w:hint="default"/>
      </w:rPr>
    </w:lvl>
    <w:lvl w:ilvl="3" w:tentative="0">
      <w:start w:val="1"/>
      <w:numFmt w:val="lowerRoman"/>
      <w:pStyle w:val="11"/>
      <w:lvlText w:val="%4."/>
      <w:lvlJc w:val="left"/>
      <w:pPr>
        <w:ind w:left="1152" w:hanging="360"/>
      </w:pPr>
      <w:rPr>
        <w:rFonts w:hint="default"/>
      </w:rPr>
    </w:lvl>
    <w:lvl w:ilvl="4" w:tentative="0">
      <w:start w:val="1"/>
      <w:numFmt w:val="lowerLetter"/>
      <w:pStyle w:val="15"/>
      <w:lvlText w:val="(%5)"/>
      <w:lvlJc w:val="left"/>
      <w:pPr>
        <w:ind w:left="1512" w:hanging="360"/>
      </w:pPr>
      <w:rPr>
        <w:rFonts w:hint="default"/>
      </w:rPr>
    </w:lvl>
    <w:lvl w:ilvl="5" w:tentative="0">
      <w:start w:val="1"/>
      <w:numFmt w:val="lowerRoman"/>
      <w:lvlText w:val="(%6)"/>
      <w:lvlJc w:val="left"/>
      <w:pPr>
        <w:ind w:left="1872" w:hanging="360"/>
      </w:pPr>
      <w:rPr>
        <w:rFonts w:hint="default"/>
      </w:rPr>
    </w:lvl>
    <w:lvl w:ilvl="6" w:tentative="0">
      <w:start w:val="1"/>
      <w:numFmt w:val="decimal"/>
      <w:lvlText w:val="%7."/>
      <w:lvlJc w:val="left"/>
      <w:pPr>
        <w:ind w:left="2232" w:hanging="360"/>
      </w:pPr>
      <w:rPr>
        <w:rFonts w:hint="default"/>
      </w:rPr>
    </w:lvl>
    <w:lvl w:ilvl="7" w:tentative="0">
      <w:start w:val="1"/>
      <w:numFmt w:val="lowerLetter"/>
      <w:lvlText w:val="%8."/>
      <w:lvlJc w:val="left"/>
      <w:pPr>
        <w:ind w:left="2592" w:hanging="360"/>
      </w:pPr>
      <w:rPr>
        <w:rFonts w:hint="default"/>
      </w:rPr>
    </w:lvl>
    <w:lvl w:ilvl="8" w:tentative="0">
      <w:start w:val="1"/>
      <w:numFmt w:val="lowerRoman"/>
      <w:lvlText w:val="%9."/>
      <w:lvlJc w:val="left"/>
      <w:pPr>
        <w:ind w:left="295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F22"/>
    <w:rsid w:val="00000AB4"/>
    <w:rsid w:val="00005ACC"/>
    <w:rsid w:val="000215D0"/>
    <w:rsid w:val="00027E5B"/>
    <w:rsid w:val="00032893"/>
    <w:rsid w:val="00042008"/>
    <w:rsid w:val="00042069"/>
    <w:rsid w:val="00042265"/>
    <w:rsid w:val="000524AB"/>
    <w:rsid w:val="00054420"/>
    <w:rsid w:val="00057E92"/>
    <w:rsid w:val="00065446"/>
    <w:rsid w:val="0006750A"/>
    <w:rsid w:val="0007055F"/>
    <w:rsid w:val="00077156"/>
    <w:rsid w:val="0007722B"/>
    <w:rsid w:val="000847F3"/>
    <w:rsid w:val="00087C8F"/>
    <w:rsid w:val="000922AE"/>
    <w:rsid w:val="000930FA"/>
    <w:rsid w:val="000A065D"/>
    <w:rsid w:val="000A28A1"/>
    <w:rsid w:val="000A45BC"/>
    <w:rsid w:val="000A517C"/>
    <w:rsid w:val="000A78D5"/>
    <w:rsid w:val="000B5227"/>
    <w:rsid w:val="000B6D3C"/>
    <w:rsid w:val="000C38ED"/>
    <w:rsid w:val="000C4542"/>
    <w:rsid w:val="000C623F"/>
    <w:rsid w:val="000D0DBE"/>
    <w:rsid w:val="000D245D"/>
    <w:rsid w:val="000D7662"/>
    <w:rsid w:val="000E1305"/>
    <w:rsid w:val="000E2AF2"/>
    <w:rsid w:val="00110EFF"/>
    <w:rsid w:val="00112860"/>
    <w:rsid w:val="00113FBD"/>
    <w:rsid w:val="001169B0"/>
    <w:rsid w:val="00124A22"/>
    <w:rsid w:val="001268F7"/>
    <w:rsid w:val="00127006"/>
    <w:rsid w:val="00130965"/>
    <w:rsid w:val="00131302"/>
    <w:rsid w:val="00133B7D"/>
    <w:rsid w:val="00142F49"/>
    <w:rsid w:val="00154558"/>
    <w:rsid w:val="00157139"/>
    <w:rsid w:val="00161CCA"/>
    <w:rsid w:val="00171F5A"/>
    <w:rsid w:val="00174244"/>
    <w:rsid w:val="00192647"/>
    <w:rsid w:val="0019384F"/>
    <w:rsid w:val="00197BC1"/>
    <w:rsid w:val="001B6EDB"/>
    <w:rsid w:val="001B7A62"/>
    <w:rsid w:val="001C3158"/>
    <w:rsid w:val="001C4AC2"/>
    <w:rsid w:val="001C5E66"/>
    <w:rsid w:val="001C7856"/>
    <w:rsid w:val="001D12EE"/>
    <w:rsid w:val="001D2735"/>
    <w:rsid w:val="001D3E92"/>
    <w:rsid w:val="001D484C"/>
    <w:rsid w:val="001D59A8"/>
    <w:rsid w:val="001D6B6D"/>
    <w:rsid w:val="001D6C62"/>
    <w:rsid w:val="001E18BA"/>
    <w:rsid w:val="001E6A9B"/>
    <w:rsid w:val="0021010B"/>
    <w:rsid w:val="00220531"/>
    <w:rsid w:val="00226160"/>
    <w:rsid w:val="00233A16"/>
    <w:rsid w:val="002407EC"/>
    <w:rsid w:val="00241CF7"/>
    <w:rsid w:val="0024227C"/>
    <w:rsid w:val="00242B8C"/>
    <w:rsid w:val="0025155F"/>
    <w:rsid w:val="00254734"/>
    <w:rsid w:val="002632CD"/>
    <w:rsid w:val="00263393"/>
    <w:rsid w:val="0026358A"/>
    <w:rsid w:val="0026560F"/>
    <w:rsid w:val="00266681"/>
    <w:rsid w:val="0027514A"/>
    <w:rsid w:val="00277ADF"/>
    <w:rsid w:val="00286222"/>
    <w:rsid w:val="00292AC3"/>
    <w:rsid w:val="00292C23"/>
    <w:rsid w:val="002953A1"/>
    <w:rsid w:val="00295B82"/>
    <w:rsid w:val="002A4BDC"/>
    <w:rsid w:val="002A5F0F"/>
    <w:rsid w:val="002A7FD6"/>
    <w:rsid w:val="002B0079"/>
    <w:rsid w:val="002B7B67"/>
    <w:rsid w:val="002C3415"/>
    <w:rsid w:val="002C58A2"/>
    <w:rsid w:val="002C5D91"/>
    <w:rsid w:val="002D11C9"/>
    <w:rsid w:val="002D1B0A"/>
    <w:rsid w:val="002D679E"/>
    <w:rsid w:val="002E13B7"/>
    <w:rsid w:val="002E39A4"/>
    <w:rsid w:val="002E53DA"/>
    <w:rsid w:val="002E7464"/>
    <w:rsid w:val="002E7AA2"/>
    <w:rsid w:val="002F29F0"/>
    <w:rsid w:val="002F5737"/>
    <w:rsid w:val="00301468"/>
    <w:rsid w:val="0030653F"/>
    <w:rsid w:val="00314539"/>
    <w:rsid w:val="00315CB4"/>
    <w:rsid w:val="00315CCC"/>
    <w:rsid w:val="0031777F"/>
    <w:rsid w:val="003202F9"/>
    <w:rsid w:val="003258E5"/>
    <w:rsid w:val="003278F4"/>
    <w:rsid w:val="00335E64"/>
    <w:rsid w:val="00336251"/>
    <w:rsid w:val="003423CA"/>
    <w:rsid w:val="00345927"/>
    <w:rsid w:val="003474F7"/>
    <w:rsid w:val="00347AC6"/>
    <w:rsid w:val="003503FD"/>
    <w:rsid w:val="0035677A"/>
    <w:rsid w:val="003605C7"/>
    <w:rsid w:val="00363FCB"/>
    <w:rsid w:val="00370E0E"/>
    <w:rsid w:val="00384331"/>
    <w:rsid w:val="00391F63"/>
    <w:rsid w:val="003944BF"/>
    <w:rsid w:val="003952F0"/>
    <w:rsid w:val="003A5650"/>
    <w:rsid w:val="003A788E"/>
    <w:rsid w:val="003A79E2"/>
    <w:rsid w:val="003B5490"/>
    <w:rsid w:val="003C0A21"/>
    <w:rsid w:val="003C0CDB"/>
    <w:rsid w:val="003C28FD"/>
    <w:rsid w:val="003C2AB0"/>
    <w:rsid w:val="003C6C60"/>
    <w:rsid w:val="003D351D"/>
    <w:rsid w:val="003D65DA"/>
    <w:rsid w:val="003E06DF"/>
    <w:rsid w:val="003E43B6"/>
    <w:rsid w:val="003E6EBA"/>
    <w:rsid w:val="003F1180"/>
    <w:rsid w:val="003F227B"/>
    <w:rsid w:val="003F33FF"/>
    <w:rsid w:val="003F40BC"/>
    <w:rsid w:val="003F43D7"/>
    <w:rsid w:val="003F53EF"/>
    <w:rsid w:val="003F65D2"/>
    <w:rsid w:val="003F6CD4"/>
    <w:rsid w:val="00406C20"/>
    <w:rsid w:val="004117E8"/>
    <w:rsid w:val="00411950"/>
    <w:rsid w:val="00412F47"/>
    <w:rsid w:val="004150C0"/>
    <w:rsid w:val="00416AF2"/>
    <w:rsid w:val="00424865"/>
    <w:rsid w:val="00431EB3"/>
    <w:rsid w:val="00432192"/>
    <w:rsid w:val="004403FC"/>
    <w:rsid w:val="00442DCB"/>
    <w:rsid w:val="00443604"/>
    <w:rsid w:val="00443FDF"/>
    <w:rsid w:val="00444D1F"/>
    <w:rsid w:val="00444E29"/>
    <w:rsid w:val="00445095"/>
    <w:rsid w:val="00445127"/>
    <w:rsid w:val="00462702"/>
    <w:rsid w:val="00462AC4"/>
    <w:rsid w:val="00467824"/>
    <w:rsid w:val="004824D5"/>
    <w:rsid w:val="00485271"/>
    <w:rsid w:val="00485AA9"/>
    <w:rsid w:val="00494605"/>
    <w:rsid w:val="004947A4"/>
    <w:rsid w:val="004A1AC8"/>
    <w:rsid w:val="004A4D08"/>
    <w:rsid w:val="004A6609"/>
    <w:rsid w:val="004B0329"/>
    <w:rsid w:val="004B4C9D"/>
    <w:rsid w:val="004C003E"/>
    <w:rsid w:val="004C0736"/>
    <w:rsid w:val="004C18CA"/>
    <w:rsid w:val="004C6588"/>
    <w:rsid w:val="004D23FF"/>
    <w:rsid w:val="004D6114"/>
    <w:rsid w:val="004D6D31"/>
    <w:rsid w:val="004D739E"/>
    <w:rsid w:val="004E1A73"/>
    <w:rsid w:val="004E238D"/>
    <w:rsid w:val="004E5124"/>
    <w:rsid w:val="004F080B"/>
    <w:rsid w:val="004F2317"/>
    <w:rsid w:val="00501150"/>
    <w:rsid w:val="00504F5B"/>
    <w:rsid w:val="0050519F"/>
    <w:rsid w:val="00523D8D"/>
    <w:rsid w:val="0052730E"/>
    <w:rsid w:val="0053043B"/>
    <w:rsid w:val="0054562A"/>
    <w:rsid w:val="00547542"/>
    <w:rsid w:val="00555F22"/>
    <w:rsid w:val="0055672C"/>
    <w:rsid w:val="00561F4E"/>
    <w:rsid w:val="00570FED"/>
    <w:rsid w:val="00581869"/>
    <w:rsid w:val="00583EAF"/>
    <w:rsid w:val="00585BD4"/>
    <w:rsid w:val="00591A18"/>
    <w:rsid w:val="00597269"/>
    <w:rsid w:val="005A19A9"/>
    <w:rsid w:val="005A5C49"/>
    <w:rsid w:val="005B33F4"/>
    <w:rsid w:val="005B436C"/>
    <w:rsid w:val="005B688A"/>
    <w:rsid w:val="005C0B26"/>
    <w:rsid w:val="005D6940"/>
    <w:rsid w:val="005E0B0A"/>
    <w:rsid w:val="005E20B6"/>
    <w:rsid w:val="005F1FA5"/>
    <w:rsid w:val="006010C0"/>
    <w:rsid w:val="006011A6"/>
    <w:rsid w:val="00610A32"/>
    <w:rsid w:val="00612ED6"/>
    <w:rsid w:val="0061339D"/>
    <w:rsid w:val="0061576E"/>
    <w:rsid w:val="00616605"/>
    <w:rsid w:val="006248F5"/>
    <w:rsid w:val="0063135B"/>
    <w:rsid w:val="00634081"/>
    <w:rsid w:val="00636FDF"/>
    <w:rsid w:val="006463AB"/>
    <w:rsid w:val="00647DD9"/>
    <w:rsid w:val="00654388"/>
    <w:rsid w:val="0065463F"/>
    <w:rsid w:val="0065497C"/>
    <w:rsid w:val="00654CE5"/>
    <w:rsid w:val="00657CD4"/>
    <w:rsid w:val="006656B6"/>
    <w:rsid w:val="0066703E"/>
    <w:rsid w:val="006675B2"/>
    <w:rsid w:val="00667ABE"/>
    <w:rsid w:val="00673FA9"/>
    <w:rsid w:val="00675E20"/>
    <w:rsid w:val="00682CAF"/>
    <w:rsid w:val="00690FD1"/>
    <w:rsid w:val="0069118B"/>
    <w:rsid w:val="0069124B"/>
    <w:rsid w:val="0069297E"/>
    <w:rsid w:val="0069558F"/>
    <w:rsid w:val="006A62BD"/>
    <w:rsid w:val="006A6D6F"/>
    <w:rsid w:val="006B3AD6"/>
    <w:rsid w:val="006B4A37"/>
    <w:rsid w:val="006B6349"/>
    <w:rsid w:val="006C0BC5"/>
    <w:rsid w:val="006C182A"/>
    <w:rsid w:val="006E017F"/>
    <w:rsid w:val="006E08B0"/>
    <w:rsid w:val="006E3B30"/>
    <w:rsid w:val="006E5EF1"/>
    <w:rsid w:val="006E67B7"/>
    <w:rsid w:val="0070021E"/>
    <w:rsid w:val="007022C3"/>
    <w:rsid w:val="00703FA0"/>
    <w:rsid w:val="00704745"/>
    <w:rsid w:val="00705C1F"/>
    <w:rsid w:val="00710560"/>
    <w:rsid w:val="0072123A"/>
    <w:rsid w:val="0072524A"/>
    <w:rsid w:val="0072720A"/>
    <w:rsid w:val="00730505"/>
    <w:rsid w:val="00736747"/>
    <w:rsid w:val="0074410B"/>
    <w:rsid w:val="007441F5"/>
    <w:rsid w:val="007451B5"/>
    <w:rsid w:val="00752982"/>
    <w:rsid w:val="00753AD4"/>
    <w:rsid w:val="0075720E"/>
    <w:rsid w:val="007602FF"/>
    <w:rsid w:val="00760D27"/>
    <w:rsid w:val="0076657A"/>
    <w:rsid w:val="00767E85"/>
    <w:rsid w:val="0077650E"/>
    <w:rsid w:val="007774A3"/>
    <w:rsid w:val="00780994"/>
    <w:rsid w:val="00790EDC"/>
    <w:rsid w:val="00791DCD"/>
    <w:rsid w:val="00797CF8"/>
    <w:rsid w:val="007A78D8"/>
    <w:rsid w:val="007A7ADA"/>
    <w:rsid w:val="007B082B"/>
    <w:rsid w:val="007B44DA"/>
    <w:rsid w:val="007C2FF4"/>
    <w:rsid w:val="007C30BB"/>
    <w:rsid w:val="007C4B7B"/>
    <w:rsid w:val="007C4FE6"/>
    <w:rsid w:val="007E559A"/>
    <w:rsid w:val="007E7ACA"/>
    <w:rsid w:val="007F4D15"/>
    <w:rsid w:val="007F7AEE"/>
    <w:rsid w:val="00800529"/>
    <w:rsid w:val="00803006"/>
    <w:rsid w:val="0080367A"/>
    <w:rsid w:val="00807B6E"/>
    <w:rsid w:val="00811F02"/>
    <w:rsid w:val="00814330"/>
    <w:rsid w:val="008219FD"/>
    <w:rsid w:val="00822EC8"/>
    <w:rsid w:val="00824090"/>
    <w:rsid w:val="008266ED"/>
    <w:rsid w:val="00833458"/>
    <w:rsid w:val="00836A70"/>
    <w:rsid w:val="0084230D"/>
    <w:rsid w:val="008437B1"/>
    <w:rsid w:val="00847815"/>
    <w:rsid w:val="00856CDB"/>
    <w:rsid w:val="008573AF"/>
    <w:rsid w:val="008607E1"/>
    <w:rsid w:val="00866405"/>
    <w:rsid w:val="008707B6"/>
    <w:rsid w:val="00884E5E"/>
    <w:rsid w:val="008911F0"/>
    <w:rsid w:val="008912D9"/>
    <w:rsid w:val="008926EB"/>
    <w:rsid w:val="00895A09"/>
    <w:rsid w:val="008A18E7"/>
    <w:rsid w:val="008A5833"/>
    <w:rsid w:val="008B02AA"/>
    <w:rsid w:val="008B474B"/>
    <w:rsid w:val="008B798A"/>
    <w:rsid w:val="008C7A58"/>
    <w:rsid w:val="008D24B8"/>
    <w:rsid w:val="008E20F6"/>
    <w:rsid w:val="008E2EE8"/>
    <w:rsid w:val="008F3853"/>
    <w:rsid w:val="008F7605"/>
    <w:rsid w:val="009012DF"/>
    <w:rsid w:val="00911315"/>
    <w:rsid w:val="00913EE9"/>
    <w:rsid w:val="00914948"/>
    <w:rsid w:val="0092087C"/>
    <w:rsid w:val="00930B33"/>
    <w:rsid w:val="009348FC"/>
    <w:rsid w:val="00935E81"/>
    <w:rsid w:val="009407EF"/>
    <w:rsid w:val="00940AF3"/>
    <w:rsid w:val="00942438"/>
    <w:rsid w:val="00945801"/>
    <w:rsid w:val="00946A44"/>
    <w:rsid w:val="00956E8A"/>
    <w:rsid w:val="00963F98"/>
    <w:rsid w:val="00963F9A"/>
    <w:rsid w:val="00964B55"/>
    <w:rsid w:val="00967B94"/>
    <w:rsid w:val="00977FAD"/>
    <w:rsid w:val="009804C4"/>
    <w:rsid w:val="00983424"/>
    <w:rsid w:val="00990A31"/>
    <w:rsid w:val="009919BB"/>
    <w:rsid w:val="009A1BB3"/>
    <w:rsid w:val="009A2E4D"/>
    <w:rsid w:val="009A4BBF"/>
    <w:rsid w:val="009A4E2D"/>
    <w:rsid w:val="009A56B6"/>
    <w:rsid w:val="009A7342"/>
    <w:rsid w:val="009B0249"/>
    <w:rsid w:val="009B58FE"/>
    <w:rsid w:val="009B69FB"/>
    <w:rsid w:val="009B7939"/>
    <w:rsid w:val="009C4068"/>
    <w:rsid w:val="009D0BF3"/>
    <w:rsid w:val="009D2A19"/>
    <w:rsid w:val="009D3995"/>
    <w:rsid w:val="009E5CA1"/>
    <w:rsid w:val="009E67EF"/>
    <w:rsid w:val="00A023EF"/>
    <w:rsid w:val="00A05451"/>
    <w:rsid w:val="00A129F1"/>
    <w:rsid w:val="00A2527B"/>
    <w:rsid w:val="00A26478"/>
    <w:rsid w:val="00A37477"/>
    <w:rsid w:val="00A40887"/>
    <w:rsid w:val="00A40B79"/>
    <w:rsid w:val="00A41978"/>
    <w:rsid w:val="00A420C7"/>
    <w:rsid w:val="00A42290"/>
    <w:rsid w:val="00A47658"/>
    <w:rsid w:val="00A54C9C"/>
    <w:rsid w:val="00A654D2"/>
    <w:rsid w:val="00A67CCB"/>
    <w:rsid w:val="00A80343"/>
    <w:rsid w:val="00A834EB"/>
    <w:rsid w:val="00A85731"/>
    <w:rsid w:val="00A8785A"/>
    <w:rsid w:val="00A87887"/>
    <w:rsid w:val="00A92AA8"/>
    <w:rsid w:val="00A93C6D"/>
    <w:rsid w:val="00A95970"/>
    <w:rsid w:val="00A968B1"/>
    <w:rsid w:val="00AA6CE0"/>
    <w:rsid w:val="00AB56D0"/>
    <w:rsid w:val="00AB5746"/>
    <w:rsid w:val="00AE3B56"/>
    <w:rsid w:val="00AE5FF2"/>
    <w:rsid w:val="00AE660B"/>
    <w:rsid w:val="00AE6964"/>
    <w:rsid w:val="00AF0179"/>
    <w:rsid w:val="00AF3987"/>
    <w:rsid w:val="00B01945"/>
    <w:rsid w:val="00B032F4"/>
    <w:rsid w:val="00B06115"/>
    <w:rsid w:val="00B207C8"/>
    <w:rsid w:val="00B24CD1"/>
    <w:rsid w:val="00B35FC0"/>
    <w:rsid w:val="00B37C3B"/>
    <w:rsid w:val="00B4123F"/>
    <w:rsid w:val="00B42C44"/>
    <w:rsid w:val="00B42EF0"/>
    <w:rsid w:val="00B47A92"/>
    <w:rsid w:val="00B629C0"/>
    <w:rsid w:val="00B63722"/>
    <w:rsid w:val="00B65D48"/>
    <w:rsid w:val="00B76992"/>
    <w:rsid w:val="00B77610"/>
    <w:rsid w:val="00B831AC"/>
    <w:rsid w:val="00B837CF"/>
    <w:rsid w:val="00B84490"/>
    <w:rsid w:val="00B84C08"/>
    <w:rsid w:val="00B85D72"/>
    <w:rsid w:val="00B868A5"/>
    <w:rsid w:val="00B86D1A"/>
    <w:rsid w:val="00B93C91"/>
    <w:rsid w:val="00B946C4"/>
    <w:rsid w:val="00B97F62"/>
    <w:rsid w:val="00BA1043"/>
    <w:rsid w:val="00BA1706"/>
    <w:rsid w:val="00BA21CB"/>
    <w:rsid w:val="00BB76DE"/>
    <w:rsid w:val="00BB789B"/>
    <w:rsid w:val="00BB7D8B"/>
    <w:rsid w:val="00BC1B31"/>
    <w:rsid w:val="00BC1F08"/>
    <w:rsid w:val="00BC4FC0"/>
    <w:rsid w:val="00BD5B04"/>
    <w:rsid w:val="00BE7560"/>
    <w:rsid w:val="00BE7BA0"/>
    <w:rsid w:val="00BF24CA"/>
    <w:rsid w:val="00BF395A"/>
    <w:rsid w:val="00BF4587"/>
    <w:rsid w:val="00BF4D2B"/>
    <w:rsid w:val="00BF786F"/>
    <w:rsid w:val="00C0311B"/>
    <w:rsid w:val="00C04A59"/>
    <w:rsid w:val="00C07D47"/>
    <w:rsid w:val="00C113D7"/>
    <w:rsid w:val="00C143A4"/>
    <w:rsid w:val="00C147F1"/>
    <w:rsid w:val="00C237B8"/>
    <w:rsid w:val="00C23FD7"/>
    <w:rsid w:val="00C31B65"/>
    <w:rsid w:val="00C338BA"/>
    <w:rsid w:val="00C43FBD"/>
    <w:rsid w:val="00C54E5A"/>
    <w:rsid w:val="00C56B2B"/>
    <w:rsid w:val="00C61DAD"/>
    <w:rsid w:val="00C63C71"/>
    <w:rsid w:val="00C65725"/>
    <w:rsid w:val="00C661DE"/>
    <w:rsid w:val="00C714E5"/>
    <w:rsid w:val="00C73D7C"/>
    <w:rsid w:val="00C74303"/>
    <w:rsid w:val="00C7657D"/>
    <w:rsid w:val="00C91578"/>
    <w:rsid w:val="00C96C18"/>
    <w:rsid w:val="00C9701C"/>
    <w:rsid w:val="00C97EDE"/>
    <w:rsid w:val="00CA3FDF"/>
    <w:rsid w:val="00CA745F"/>
    <w:rsid w:val="00CA7DB9"/>
    <w:rsid w:val="00CB6EB4"/>
    <w:rsid w:val="00CB7671"/>
    <w:rsid w:val="00CC1EE0"/>
    <w:rsid w:val="00CC5FC9"/>
    <w:rsid w:val="00CC6B45"/>
    <w:rsid w:val="00CE4EF3"/>
    <w:rsid w:val="00CE51A8"/>
    <w:rsid w:val="00CF06DB"/>
    <w:rsid w:val="00CF7FCE"/>
    <w:rsid w:val="00D05E41"/>
    <w:rsid w:val="00D13B0F"/>
    <w:rsid w:val="00D15609"/>
    <w:rsid w:val="00D21737"/>
    <w:rsid w:val="00D23D09"/>
    <w:rsid w:val="00D34611"/>
    <w:rsid w:val="00D37865"/>
    <w:rsid w:val="00D429F4"/>
    <w:rsid w:val="00D43476"/>
    <w:rsid w:val="00D5422C"/>
    <w:rsid w:val="00D72418"/>
    <w:rsid w:val="00D7503F"/>
    <w:rsid w:val="00D76BD3"/>
    <w:rsid w:val="00D837EB"/>
    <w:rsid w:val="00D83D18"/>
    <w:rsid w:val="00D900D5"/>
    <w:rsid w:val="00D901BC"/>
    <w:rsid w:val="00D93907"/>
    <w:rsid w:val="00D94DE7"/>
    <w:rsid w:val="00D97F6C"/>
    <w:rsid w:val="00DA0EC5"/>
    <w:rsid w:val="00DA1E03"/>
    <w:rsid w:val="00DB59F8"/>
    <w:rsid w:val="00DB6F6D"/>
    <w:rsid w:val="00DC285D"/>
    <w:rsid w:val="00DC5729"/>
    <w:rsid w:val="00DD71B1"/>
    <w:rsid w:val="00DE7897"/>
    <w:rsid w:val="00DF2DB7"/>
    <w:rsid w:val="00E05C29"/>
    <w:rsid w:val="00E11D4D"/>
    <w:rsid w:val="00E159A2"/>
    <w:rsid w:val="00E166E7"/>
    <w:rsid w:val="00E207BD"/>
    <w:rsid w:val="00E22DA7"/>
    <w:rsid w:val="00E2783B"/>
    <w:rsid w:val="00E27931"/>
    <w:rsid w:val="00E33C29"/>
    <w:rsid w:val="00E348A5"/>
    <w:rsid w:val="00E3527F"/>
    <w:rsid w:val="00E360EE"/>
    <w:rsid w:val="00E4239C"/>
    <w:rsid w:val="00E45A65"/>
    <w:rsid w:val="00E4629C"/>
    <w:rsid w:val="00E5213C"/>
    <w:rsid w:val="00E55BAE"/>
    <w:rsid w:val="00E633C9"/>
    <w:rsid w:val="00E640AE"/>
    <w:rsid w:val="00E651EC"/>
    <w:rsid w:val="00E66E30"/>
    <w:rsid w:val="00E671FB"/>
    <w:rsid w:val="00E7082C"/>
    <w:rsid w:val="00E70FFD"/>
    <w:rsid w:val="00E72A0C"/>
    <w:rsid w:val="00E75AD9"/>
    <w:rsid w:val="00E75B50"/>
    <w:rsid w:val="00E92ACC"/>
    <w:rsid w:val="00E93B2F"/>
    <w:rsid w:val="00EA267C"/>
    <w:rsid w:val="00EA3B30"/>
    <w:rsid w:val="00EA5E74"/>
    <w:rsid w:val="00EA6331"/>
    <w:rsid w:val="00EA7D98"/>
    <w:rsid w:val="00EB555C"/>
    <w:rsid w:val="00EB57E5"/>
    <w:rsid w:val="00EB6B77"/>
    <w:rsid w:val="00EC11BF"/>
    <w:rsid w:val="00EC2BF4"/>
    <w:rsid w:val="00EC2D14"/>
    <w:rsid w:val="00EC4F46"/>
    <w:rsid w:val="00ED47EB"/>
    <w:rsid w:val="00EE5736"/>
    <w:rsid w:val="00EF0C9D"/>
    <w:rsid w:val="00F00508"/>
    <w:rsid w:val="00F1105B"/>
    <w:rsid w:val="00F11A0A"/>
    <w:rsid w:val="00F1362B"/>
    <w:rsid w:val="00F3169E"/>
    <w:rsid w:val="00F32E44"/>
    <w:rsid w:val="00F41B2B"/>
    <w:rsid w:val="00F5051D"/>
    <w:rsid w:val="00F52BB9"/>
    <w:rsid w:val="00F57030"/>
    <w:rsid w:val="00F6095D"/>
    <w:rsid w:val="00F73162"/>
    <w:rsid w:val="00F73639"/>
    <w:rsid w:val="00F82072"/>
    <w:rsid w:val="00F83052"/>
    <w:rsid w:val="00F8375A"/>
    <w:rsid w:val="00F857F2"/>
    <w:rsid w:val="00F92561"/>
    <w:rsid w:val="00F92FD9"/>
    <w:rsid w:val="00F96D3C"/>
    <w:rsid w:val="00F97499"/>
    <w:rsid w:val="00FA5513"/>
    <w:rsid w:val="00FA5764"/>
    <w:rsid w:val="00FB3D92"/>
    <w:rsid w:val="00FC14F0"/>
    <w:rsid w:val="00FC7FCD"/>
    <w:rsid w:val="00FD3D4B"/>
    <w:rsid w:val="00FD74DD"/>
    <w:rsid w:val="00FE1188"/>
    <w:rsid w:val="00FE52E7"/>
    <w:rsid w:val="00FE7524"/>
    <w:rsid w:val="00FF4F26"/>
    <w:rsid w:val="00FF5612"/>
    <w:rsid w:val="FF7EBA0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1"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35"/>
    <w:qFormat/>
    <w:uiPriority w:val="9"/>
    <w:pPr>
      <w:keepNext/>
      <w:keepLines/>
      <w:spacing w:before="260" w:after="260" w:line="416" w:lineRule="auto"/>
      <w:outlineLvl w:val="1"/>
    </w:pPr>
    <w:rPr>
      <w:rFonts w:ascii="Cambria" w:hAnsi="Cambria"/>
      <w:b/>
      <w:bCs/>
      <w:sz w:val="32"/>
      <w:szCs w:val="32"/>
    </w:rPr>
  </w:style>
  <w:style w:type="paragraph" w:styleId="3">
    <w:name w:val="heading 3"/>
    <w:basedOn w:val="1"/>
    <w:next w:val="1"/>
    <w:link w:val="34"/>
    <w:qFormat/>
    <w:uiPriority w:val="0"/>
    <w:pPr>
      <w:keepNext/>
      <w:keepLines/>
      <w:spacing w:before="260" w:after="260" w:line="416" w:lineRule="auto"/>
      <w:outlineLvl w:val="2"/>
    </w:pPr>
    <w:rPr>
      <w:rFonts w:ascii="Times New Roman" w:hAnsi="Times New Roman"/>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4">
    <w:name w:val="List Number 2"/>
    <w:basedOn w:val="1"/>
    <w:unhideWhenUsed/>
    <w:qFormat/>
    <w:uiPriority w:val="1"/>
    <w:pPr>
      <w:widowControl/>
      <w:numPr>
        <w:ilvl w:val="1"/>
        <w:numId w:val="1"/>
      </w:numPr>
      <w:ind w:left="431" w:hanging="431"/>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5">
    <w:name w:val="List Number"/>
    <w:basedOn w:val="1"/>
    <w:unhideWhenUsed/>
    <w:qFormat/>
    <w:uiPriority w:val="1"/>
    <w:pPr>
      <w:widowControl/>
      <w:numPr>
        <w:ilvl w:val="0"/>
        <w:numId w:val="1"/>
      </w:numPr>
      <w:ind w:left="357" w:hanging="357"/>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6">
    <w:name w:val="annotation text"/>
    <w:basedOn w:val="1"/>
    <w:link w:val="28"/>
    <w:unhideWhenUsed/>
    <w:qFormat/>
    <w:uiPriority w:val="99"/>
    <w:pPr>
      <w:jc w:val="left"/>
    </w:pPr>
    <w:rPr>
      <w:rFonts w:ascii="Times New Roman" w:hAnsi="Times New Roman"/>
      <w:szCs w:val="20"/>
    </w:rPr>
  </w:style>
  <w:style w:type="paragraph" w:styleId="7">
    <w:name w:val="Body Text"/>
    <w:basedOn w:val="1"/>
    <w:next w:val="1"/>
    <w:link w:val="36"/>
    <w:unhideWhenUsed/>
    <w:qFormat/>
    <w:uiPriority w:val="99"/>
    <w:pPr>
      <w:spacing w:after="120"/>
    </w:pPr>
    <w:rPr>
      <w:rFonts w:ascii="Times New Roman" w:hAnsi="Times New Roman"/>
      <w:szCs w:val="20"/>
    </w:rPr>
  </w:style>
  <w:style w:type="paragraph" w:styleId="8">
    <w:name w:val="Body Text Indent"/>
    <w:basedOn w:val="1"/>
    <w:link w:val="24"/>
    <w:qFormat/>
    <w:uiPriority w:val="0"/>
    <w:pPr>
      <w:tabs>
        <w:tab w:val="left" w:pos="480"/>
      </w:tabs>
      <w:spacing w:line="560" w:lineRule="exact"/>
      <w:ind w:firstLine="480"/>
      <w:jc w:val="left"/>
    </w:pPr>
    <w:rPr>
      <w:rFonts w:ascii="宋体" w:hAnsi="宋体"/>
      <w:sz w:val="24"/>
      <w:szCs w:val="20"/>
    </w:rPr>
  </w:style>
  <w:style w:type="paragraph" w:styleId="9">
    <w:name w:val="List Number 3"/>
    <w:basedOn w:val="1"/>
    <w:unhideWhenUsed/>
    <w:qFormat/>
    <w:uiPriority w:val="18"/>
    <w:pPr>
      <w:widowControl/>
      <w:numPr>
        <w:ilvl w:val="2"/>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10">
    <w:name w:val="Block Text"/>
    <w:basedOn w:val="1"/>
    <w:autoRedefine/>
    <w:qFormat/>
    <w:uiPriority w:val="0"/>
    <w:pPr>
      <w:jc w:val="left"/>
    </w:pPr>
    <w:rPr>
      <w:rFonts w:ascii="Times New Roman" w:hAnsi="Times New Roman"/>
      <w:sz w:val="24"/>
      <w:szCs w:val="24"/>
    </w:rPr>
  </w:style>
  <w:style w:type="paragraph" w:styleId="11">
    <w:name w:val="List Number 4"/>
    <w:basedOn w:val="1"/>
    <w:unhideWhenUsed/>
    <w:qFormat/>
    <w:uiPriority w:val="18"/>
    <w:pPr>
      <w:widowControl/>
      <w:numPr>
        <w:ilvl w:val="3"/>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12">
    <w:name w:val="Date"/>
    <w:basedOn w:val="1"/>
    <w:next w:val="1"/>
    <w:link w:val="30"/>
    <w:qFormat/>
    <w:uiPriority w:val="0"/>
    <w:pPr>
      <w:adjustRightInd w:val="0"/>
      <w:spacing w:line="360" w:lineRule="atLeast"/>
      <w:textAlignment w:val="baseline"/>
    </w:pPr>
    <w:rPr>
      <w:rFonts w:ascii="Times New Roman" w:hAnsi="Times New Roman"/>
      <w:sz w:val="32"/>
      <w:szCs w:val="20"/>
    </w:rPr>
  </w:style>
  <w:style w:type="paragraph" w:styleId="13">
    <w:name w:val="footer"/>
    <w:basedOn w:val="1"/>
    <w:link w:val="26"/>
    <w:unhideWhenUsed/>
    <w:qFormat/>
    <w:uiPriority w:val="99"/>
    <w:pPr>
      <w:tabs>
        <w:tab w:val="center" w:pos="4153"/>
        <w:tab w:val="right" w:pos="8306"/>
      </w:tabs>
      <w:snapToGrid w:val="0"/>
      <w:jc w:val="left"/>
    </w:pPr>
    <w:rPr>
      <w:sz w:val="18"/>
      <w:szCs w:val="18"/>
    </w:rPr>
  </w:style>
  <w:style w:type="paragraph" w:styleId="14">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List Number 5"/>
    <w:basedOn w:val="1"/>
    <w:unhideWhenUsed/>
    <w:qFormat/>
    <w:uiPriority w:val="18"/>
    <w:pPr>
      <w:widowControl/>
      <w:numPr>
        <w:ilvl w:val="4"/>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16">
    <w:name w:val="HTML Preformatted"/>
    <w:basedOn w:val="1"/>
    <w:link w:val="3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Arial Unicode MS" w:cs="Arial"/>
      <w:szCs w:val="21"/>
    </w:rPr>
  </w:style>
  <w:style w:type="paragraph" w:styleId="17">
    <w:name w:val="Normal (Web)"/>
    <w:basedOn w:val="1"/>
    <w:semiHidden/>
    <w:unhideWhenUsed/>
    <w:qFormat/>
    <w:uiPriority w:val="99"/>
    <w:rPr>
      <w:rFonts w:ascii="Times New Roman" w:hAnsi="Times New Roman"/>
      <w:sz w:val="24"/>
      <w:szCs w:val="20"/>
    </w:rPr>
  </w:style>
  <w:style w:type="paragraph" w:styleId="18">
    <w:name w:val="annotation subject"/>
    <w:basedOn w:val="6"/>
    <w:next w:val="6"/>
    <w:link w:val="29"/>
    <w:semiHidden/>
    <w:unhideWhenUsed/>
    <w:qFormat/>
    <w:uiPriority w:val="99"/>
    <w:rPr>
      <w:b/>
      <w:bCs/>
    </w:rPr>
  </w:style>
  <w:style w:type="table" w:styleId="20">
    <w:name w:val="Table Grid"/>
    <w:basedOn w:val="19"/>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Hyperlink"/>
    <w:basedOn w:val="21"/>
    <w:unhideWhenUsed/>
    <w:qFormat/>
    <w:uiPriority w:val="99"/>
    <w:rPr>
      <w:color w:val="0000FF" w:themeColor="hyperlink"/>
      <w:u w:val="single"/>
      <w14:textFill>
        <w14:solidFill>
          <w14:schemeClr w14:val="hlink"/>
        </w14:solidFill>
      </w14:textFill>
    </w:rPr>
  </w:style>
  <w:style w:type="paragraph" w:customStyle="1" w:styleId="23">
    <w:name w:val="Default"/>
    <w:link w:val="32"/>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24">
    <w:name w:val="正文文本缩进 Char"/>
    <w:basedOn w:val="21"/>
    <w:link w:val="8"/>
    <w:qFormat/>
    <w:uiPriority w:val="0"/>
    <w:rPr>
      <w:rFonts w:ascii="宋体" w:hAnsi="宋体" w:eastAsia="宋体" w:cs="Times New Roman"/>
      <w:sz w:val="24"/>
      <w:szCs w:val="20"/>
    </w:rPr>
  </w:style>
  <w:style w:type="character" w:customStyle="1" w:styleId="25">
    <w:name w:val="页眉 Char"/>
    <w:basedOn w:val="21"/>
    <w:link w:val="14"/>
    <w:qFormat/>
    <w:uiPriority w:val="99"/>
    <w:rPr>
      <w:rFonts w:ascii="Calibri" w:hAnsi="Calibri" w:eastAsia="宋体" w:cs="Times New Roman"/>
      <w:sz w:val="18"/>
      <w:szCs w:val="18"/>
    </w:rPr>
  </w:style>
  <w:style w:type="character" w:customStyle="1" w:styleId="26">
    <w:name w:val="页脚 Char"/>
    <w:basedOn w:val="21"/>
    <w:link w:val="13"/>
    <w:qFormat/>
    <w:uiPriority w:val="99"/>
    <w:rPr>
      <w:rFonts w:ascii="Calibri" w:hAnsi="Calibri" w:eastAsia="宋体" w:cs="Times New Roman"/>
      <w:sz w:val="18"/>
      <w:szCs w:val="18"/>
    </w:rPr>
  </w:style>
  <w:style w:type="character" w:customStyle="1" w:styleId="27">
    <w:name w:val="control-label6"/>
    <w:basedOn w:val="21"/>
    <w:qFormat/>
    <w:uiPriority w:val="0"/>
    <w:rPr>
      <w:rFonts w:hint="eastAsia" w:ascii="微软雅黑" w:hAnsi="微软雅黑" w:eastAsia="微软雅黑"/>
    </w:rPr>
  </w:style>
  <w:style w:type="character" w:customStyle="1" w:styleId="28">
    <w:name w:val="批注文字 Char"/>
    <w:basedOn w:val="21"/>
    <w:link w:val="6"/>
    <w:qFormat/>
    <w:uiPriority w:val="99"/>
    <w:rPr>
      <w:rFonts w:ascii="Times New Roman" w:hAnsi="Times New Roman" w:eastAsia="宋体" w:cs="Times New Roman"/>
      <w:szCs w:val="20"/>
    </w:rPr>
  </w:style>
  <w:style w:type="character" w:customStyle="1" w:styleId="29">
    <w:name w:val="批注主题 Char"/>
    <w:basedOn w:val="28"/>
    <w:link w:val="18"/>
    <w:semiHidden/>
    <w:qFormat/>
    <w:uiPriority w:val="99"/>
    <w:rPr>
      <w:rFonts w:ascii="Times New Roman" w:hAnsi="Times New Roman" w:eastAsia="宋体" w:cs="Times New Roman"/>
      <w:b/>
      <w:bCs/>
      <w:szCs w:val="20"/>
    </w:rPr>
  </w:style>
  <w:style w:type="character" w:customStyle="1" w:styleId="30">
    <w:name w:val="日期 Char"/>
    <w:basedOn w:val="21"/>
    <w:link w:val="12"/>
    <w:qFormat/>
    <w:uiPriority w:val="0"/>
    <w:rPr>
      <w:rFonts w:ascii="Times New Roman" w:hAnsi="Times New Roman" w:eastAsia="宋体" w:cs="Times New Roman"/>
      <w:sz w:val="32"/>
      <w:szCs w:val="20"/>
    </w:rPr>
  </w:style>
  <w:style w:type="character" w:customStyle="1" w:styleId="31">
    <w:name w:val="日期 Char1"/>
    <w:basedOn w:val="21"/>
    <w:semiHidden/>
    <w:qFormat/>
    <w:uiPriority w:val="99"/>
    <w:rPr>
      <w:rFonts w:ascii="Calibri" w:hAnsi="Calibri" w:eastAsia="宋体" w:cs="Times New Roman"/>
    </w:rPr>
  </w:style>
  <w:style w:type="character" w:customStyle="1" w:styleId="32">
    <w:name w:val="Default Char"/>
    <w:link w:val="23"/>
    <w:qFormat/>
    <w:locked/>
    <w:uiPriority w:val="0"/>
    <w:rPr>
      <w:rFonts w:ascii="......." w:hAnsi="Calibri" w:eastAsia="......." w:cs="......."/>
      <w:color w:val="000000"/>
      <w:kern w:val="0"/>
      <w:sz w:val="24"/>
      <w:szCs w:val="24"/>
    </w:rPr>
  </w:style>
  <w:style w:type="character" w:customStyle="1" w:styleId="33">
    <w:name w:val="HTML 预设格式 Char"/>
    <w:basedOn w:val="21"/>
    <w:link w:val="16"/>
    <w:qFormat/>
    <w:uiPriority w:val="0"/>
    <w:rPr>
      <w:rFonts w:ascii="Arial" w:hAnsi="Arial" w:eastAsia="Arial Unicode MS" w:cs="Arial"/>
      <w:szCs w:val="21"/>
    </w:rPr>
  </w:style>
  <w:style w:type="character" w:customStyle="1" w:styleId="34">
    <w:name w:val="标题 3 Char"/>
    <w:basedOn w:val="21"/>
    <w:link w:val="3"/>
    <w:qFormat/>
    <w:uiPriority w:val="0"/>
    <w:rPr>
      <w:rFonts w:ascii="Times New Roman" w:hAnsi="Times New Roman" w:eastAsia="宋体" w:cs="Times New Roman"/>
      <w:b/>
      <w:bCs/>
      <w:sz w:val="32"/>
      <w:szCs w:val="32"/>
    </w:rPr>
  </w:style>
  <w:style w:type="character" w:customStyle="1" w:styleId="35">
    <w:name w:val="标题 2 Char"/>
    <w:basedOn w:val="21"/>
    <w:link w:val="2"/>
    <w:qFormat/>
    <w:uiPriority w:val="9"/>
    <w:rPr>
      <w:rFonts w:ascii="Cambria" w:hAnsi="Cambria" w:eastAsia="宋体" w:cs="Times New Roman"/>
      <w:b/>
      <w:bCs/>
      <w:sz w:val="32"/>
      <w:szCs w:val="32"/>
    </w:rPr>
  </w:style>
  <w:style w:type="character" w:customStyle="1" w:styleId="36">
    <w:name w:val="正文文本 Char"/>
    <w:basedOn w:val="21"/>
    <w:link w:val="7"/>
    <w:qFormat/>
    <w:uiPriority w:val="99"/>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713</Words>
  <Characters>4068</Characters>
  <Lines>33</Lines>
  <Paragraphs>9</Paragraphs>
  <TotalTime>13</TotalTime>
  <ScaleCrop>false</ScaleCrop>
  <LinksUpToDate>false</LinksUpToDate>
  <CharactersWithSpaces>4772</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2026-01-05T16:38:00Z</dcterms:created>
  <dc:creator>王永锋</dc:creator>
  <cp:lastModifiedBy>未定义</cp:lastModifiedBy>
  <dcterms:modified xsi:type="dcterms:W3CDTF">2026-02-06T09:47:28Z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DFA6CAEAF1FCA9D6304885694D441385_43</vt:lpwstr>
  </property>
</Properties>
</file>